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5608D">
        <w:rPr>
          <w:rFonts w:ascii="Calibri" w:eastAsia="Times New Roman" w:hAnsi="Calibri" w:cs="Calibri"/>
          <w:b/>
          <w:sz w:val="44"/>
          <w:szCs w:val="44"/>
        </w:rPr>
        <w:t>50</w:t>
      </w:r>
      <w:r>
        <w:rPr>
          <w:rFonts w:ascii="Calibri" w:eastAsia="Times New Roman" w:hAnsi="Calibri" w:cs="Calibri"/>
          <w:b/>
          <w:sz w:val="44"/>
          <w:szCs w:val="44"/>
        </w:rPr>
        <w:t xml:space="preserve"> del </w:t>
      </w:r>
      <w:r w:rsidR="0085608D">
        <w:rPr>
          <w:rFonts w:ascii="Calibri" w:eastAsia="Times New Roman" w:hAnsi="Calibri" w:cs="Calibri"/>
          <w:b/>
          <w:sz w:val="44"/>
          <w:szCs w:val="44"/>
        </w:rPr>
        <w:t>20</w:t>
      </w:r>
      <w:r>
        <w:rPr>
          <w:rFonts w:ascii="Calibri" w:eastAsia="Times New Roman" w:hAnsi="Calibri" w:cs="Calibri"/>
          <w:b/>
          <w:sz w:val="44"/>
          <w:szCs w:val="44"/>
        </w:rPr>
        <w:t xml:space="preserve"> </w:t>
      </w:r>
      <w:r w:rsidR="00F64419">
        <w:rPr>
          <w:rFonts w:ascii="Calibri" w:eastAsia="Times New Roman" w:hAnsi="Calibri" w:cs="Calibri"/>
          <w:b/>
          <w:sz w:val="44"/>
          <w:szCs w:val="44"/>
        </w:rPr>
        <w:t>GIUGNO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D92E02"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3E0DC6" w:rsidP="003E0DC6">
      <w:pPr>
        <w:suppressAutoHyphens w:val="0"/>
        <w:autoSpaceDN/>
        <w:spacing w:after="480"/>
        <w:jc w:val="both"/>
        <w:rPr>
          <w:rFonts w:ascii="Calibri" w:eastAsia="Times New Roman" w:hAnsi="Calibri" w:cs="Calibri"/>
          <w:b/>
          <w:kern w:val="0"/>
          <w:lang w:eastAsia="en-US" w:bidi="ar-SA"/>
        </w:rPr>
      </w:pPr>
      <w:hyperlink r:id="rId12" w:history="1">
        <w:r w:rsidRPr="003E0DC6">
          <w:rPr>
            <w:rFonts w:ascii="Calibri" w:eastAsia="Times New Roman" w:hAnsi="Calibri" w:cs="Calibri"/>
            <w:b/>
            <w:color w:val="0000FF"/>
            <w:kern w:val="0"/>
            <w:u w:val="single"/>
            <w:lang w:eastAsia="en-US" w:bidi="ar-SA"/>
          </w:rPr>
          <w:t xml:space="preserve">TERMINI E MODALITA’ DI </w:t>
        </w:r>
        <w:r w:rsidRPr="003E0DC6">
          <w:rPr>
            <w:rFonts w:ascii="Calibri" w:eastAsia="Times New Roman" w:hAnsi="Calibri" w:cs="Calibri"/>
            <w:b/>
            <w:color w:val="0000FF"/>
            <w:kern w:val="0"/>
            <w:u w:val="single"/>
            <w:lang w:eastAsia="en-US" w:bidi="ar-SA"/>
          </w:rPr>
          <w:t>S</w:t>
        </w:r>
        <w:r w:rsidRPr="003E0DC6">
          <w:rPr>
            <w:rFonts w:ascii="Calibri" w:eastAsia="Times New Roman" w:hAnsi="Calibri" w:cs="Calibri"/>
            <w:b/>
            <w:color w:val="0000FF"/>
            <w:kern w:val="0"/>
            <w:u w:val="single"/>
            <w:lang w:eastAsia="en-US" w:bidi="ar-SA"/>
          </w:rPr>
          <w:t>VINCOLO-VARIAZIONI TE</w:t>
        </w:r>
        <w:r w:rsidRPr="003E0DC6">
          <w:rPr>
            <w:rFonts w:ascii="Calibri" w:eastAsia="Times New Roman" w:hAnsi="Calibri" w:cs="Calibri"/>
            <w:b/>
            <w:color w:val="0000FF"/>
            <w:kern w:val="0"/>
            <w:u w:val="single"/>
            <w:lang w:eastAsia="en-US" w:bidi="ar-SA"/>
          </w:rPr>
          <w:t>S</w:t>
        </w:r>
        <w:r w:rsidRPr="003E0DC6">
          <w:rPr>
            <w:rFonts w:ascii="Calibri" w:eastAsia="Times New Roman" w:hAnsi="Calibri" w:cs="Calibri"/>
            <w:b/>
            <w:color w:val="0000FF"/>
            <w:kern w:val="0"/>
            <w:u w:val="single"/>
            <w:lang w:eastAsia="en-US" w:bidi="ar-SA"/>
          </w:rPr>
          <w:t>SERAMENTO-TRASFER</w:t>
        </w:r>
        <w:r w:rsidRPr="003E0DC6">
          <w:rPr>
            <w:rFonts w:ascii="Calibri" w:eastAsia="Times New Roman" w:hAnsi="Calibri" w:cs="Calibri"/>
            <w:b/>
            <w:color w:val="0000FF"/>
            <w:kern w:val="0"/>
            <w:u w:val="single"/>
            <w:lang w:eastAsia="en-US" w:bidi="ar-SA"/>
          </w:rPr>
          <w:t>I</w:t>
        </w:r>
        <w:r w:rsidRPr="003E0DC6">
          <w:rPr>
            <w:rFonts w:ascii="Calibri" w:eastAsia="Times New Roman" w:hAnsi="Calibri" w:cs="Calibri"/>
            <w:b/>
            <w:color w:val="0000FF"/>
            <w:kern w:val="0"/>
            <w:u w:val="single"/>
            <w:lang w:eastAsia="en-US" w:bidi="ar-SA"/>
          </w:rPr>
          <w:t>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P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A03697">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A03697">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A03697">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A03697">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A03697">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A03697">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A03697">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lastRenderedPageBreak/>
        <w:t>1) Anche per la s.s.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A03697">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A03697">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A03697">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A03697">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ha preso parte nella s.s.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A03697">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prende parte per la prima volta nella s.s.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A03697">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er la s.s.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A03697">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A03697">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A03697">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A03697">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A03697">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A03697">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A03697">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A03697">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A03697">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A03697">
        <w:trPr>
          <w:trHeight w:val="632"/>
          <w:jc w:val="center"/>
        </w:trPr>
        <w:tc>
          <w:tcPr>
            <w:tcW w:w="1533" w:type="dxa"/>
            <w:shd w:val="clear" w:color="auto" w:fill="auto"/>
            <w:vAlign w:val="center"/>
          </w:tcPr>
          <w:p w:rsidR="003E0DC6" w:rsidRPr="00D67C75" w:rsidRDefault="003E0DC6" w:rsidP="00A03697">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A03697">
            <w:pPr>
              <w:pStyle w:val="LndNormale1"/>
              <w:rPr>
                <w:rFonts w:ascii="Calibri" w:hAnsi="Calibri" w:cs="Calibri"/>
              </w:rPr>
            </w:pPr>
          </w:p>
        </w:tc>
        <w:tc>
          <w:tcPr>
            <w:tcW w:w="1360" w:type="dxa"/>
            <w:shd w:val="clear" w:color="auto" w:fill="auto"/>
            <w:vAlign w:val="center"/>
          </w:tcPr>
          <w:p w:rsidR="003E0DC6" w:rsidRPr="00D67C75" w:rsidRDefault="003E0DC6" w:rsidP="00A03697">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A03697">
            <w:pPr>
              <w:pStyle w:val="LndNormale1"/>
              <w:rPr>
                <w:rFonts w:ascii="Calibri" w:hAnsi="Calibri" w:cs="Calibri"/>
              </w:rPr>
            </w:pPr>
          </w:p>
        </w:tc>
        <w:tc>
          <w:tcPr>
            <w:tcW w:w="1842" w:type="dxa"/>
            <w:shd w:val="clear" w:color="auto" w:fill="auto"/>
            <w:vAlign w:val="center"/>
          </w:tcPr>
          <w:p w:rsidR="003E0DC6" w:rsidRPr="00D67C75" w:rsidRDefault="003E0DC6" w:rsidP="00A03697">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A03697">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Per le Società già affiliate ,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lastRenderedPageBreak/>
        <w:t>N.B.: per le voci “acconto spese organizzative”ed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Dopo tale data verranno applicate ,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lastRenderedPageBreak/>
        <w:t>Per poter partecipare all’attività federale, i suddetti calciatori dovranno provvedere all’aggiornamento della posizione di tesseramento.</w:t>
      </w:r>
    </w:p>
    <w:p w:rsidR="003E0DC6" w:rsidRPr="003E0DC6" w:rsidRDefault="003E0DC6" w:rsidP="003E0DC6">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EVENTUALE DISPONIBILITA’ DI POSTI NEI CAMPIONATI ORGANIZZATI DAL COMITATO REGIONALE ABRUZZO</w:t>
      </w:r>
    </w:p>
    <w:p w:rsidR="003E0DC6" w:rsidRPr="003E0DC6" w:rsidRDefault="003E0DC6" w:rsidP="003E0DC6">
      <w:pPr>
        <w:suppressAutoHyphens w:val="0"/>
        <w:autoSpaceDN/>
        <w:spacing w:before="120" w:after="120"/>
        <w:rPr>
          <w:rFonts w:ascii="Calibri" w:eastAsia="Times New Roman" w:hAnsi="Calibri" w:cs="Times New Roman"/>
          <w:b/>
          <w:smallCaps/>
          <w:noProof/>
          <w:kern w:val="0"/>
          <w:sz w:val="22"/>
          <w:szCs w:val="22"/>
          <w:u w:val="single"/>
          <w:lang w:eastAsia="it-IT" w:bidi="ar-SA"/>
        </w:rPr>
      </w:pPr>
      <w:r w:rsidRPr="003E0DC6">
        <w:rPr>
          <w:rFonts w:ascii="Calibri" w:eastAsia="Times New Roman" w:hAnsi="Calibri" w:cs="Times New Roman"/>
          <w:b/>
          <w:smallCaps/>
          <w:noProof/>
          <w:kern w:val="0"/>
          <w:sz w:val="22"/>
          <w:szCs w:val="22"/>
          <w:u w:val="single"/>
          <w:lang w:eastAsia="it-IT" w:bidi="ar-SA"/>
        </w:rPr>
        <w:t xml:space="preserve">Completamento Organico Campionati - </w:t>
      </w:r>
      <w:r w:rsidRPr="003E0DC6">
        <w:rPr>
          <w:rFonts w:ascii="Calibri" w:eastAsia="Times New Roman" w:hAnsi="Calibri" w:cs="Times New Roman"/>
          <w:b/>
          <w:smallCaps/>
          <w:noProof/>
          <w:kern w:val="0"/>
          <w:sz w:val="22"/>
          <w:szCs w:val="22"/>
          <w:highlight w:val="yellow"/>
          <w:u w:val="single"/>
          <w:lang w:eastAsia="it-IT" w:bidi="ar-SA"/>
        </w:rPr>
        <w:t>Stagione Sportiva 2019/2020</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Il Consiglio Direttivo del Comitato nella riunione del </w:t>
      </w:r>
      <w:r w:rsidRPr="003E0DC6">
        <w:rPr>
          <w:rFonts w:ascii="Calibri" w:eastAsia="Times New Roman" w:hAnsi="Calibri" w:cs="Times New Roman"/>
          <w:kern w:val="0"/>
          <w:sz w:val="20"/>
          <w:szCs w:val="22"/>
          <w:lang w:eastAsia="it-IT" w:bidi="ar-SA"/>
        </w:rPr>
        <w:t>5 aprile 2019</w:t>
      </w:r>
      <w:r w:rsidRPr="003E0DC6">
        <w:rPr>
          <w:rFonts w:ascii="Calibri" w:eastAsia="Times New Roman" w:hAnsi="Calibri" w:cs="Times New Roman"/>
          <w:kern w:val="0"/>
          <w:sz w:val="20"/>
          <w:szCs w:val="22"/>
          <w:lang w:val="x-none" w:eastAsia="it-IT" w:bidi="ar-SA"/>
        </w:rPr>
        <w:t xml:space="preserve"> ha stabilito i criteri ed i requisiti valutabili per il completamento degli organici dei Campionati </w:t>
      </w:r>
      <w:r w:rsidRPr="003E0DC6">
        <w:rPr>
          <w:rFonts w:ascii="Calibri" w:eastAsia="Times New Roman" w:hAnsi="Calibri" w:cs="Times New Roman"/>
          <w:b/>
          <w:kern w:val="0"/>
          <w:sz w:val="20"/>
          <w:szCs w:val="22"/>
          <w:highlight w:val="yellow"/>
          <w:u w:val="single"/>
          <w:lang w:val="x-none" w:eastAsia="it-IT" w:bidi="ar-SA"/>
        </w:rPr>
        <w:t>per la Stagione Sportiva 201</w:t>
      </w:r>
      <w:r w:rsidRPr="003E0DC6">
        <w:rPr>
          <w:rFonts w:ascii="Calibri" w:eastAsia="Times New Roman" w:hAnsi="Calibri" w:cs="Times New Roman"/>
          <w:b/>
          <w:kern w:val="0"/>
          <w:sz w:val="20"/>
          <w:szCs w:val="22"/>
          <w:highlight w:val="yellow"/>
          <w:u w:val="single"/>
          <w:lang w:eastAsia="it-IT" w:bidi="ar-SA"/>
        </w:rPr>
        <w:t>9</w:t>
      </w:r>
      <w:r w:rsidRPr="003E0DC6">
        <w:rPr>
          <w:rFonts w:ascii="Calibri" w:eastAsia="Times New Roman" w:hAnsi="Calibri" w:cs="Times New Roman"/>
          <w:b/>
          <w:kern w:val="0"/>
          <w:sz w:val="20"/>
          <w:szCs w:val="22"/>
          <w:highlight w:val="yellow"/>
          <w:u w:val="single"/>
          <w:lang w:val="x-none" w:eastAsia="it-IT" w:bidi="ar-SA"/>
        </w:rPr>
        <w:t>/20</w:t>
      </w:r>
      <w:r w:rsidRPr="003E0DC6">
        <w:rPr>
          <w:rFonts w:ascii="Calibri" w:eastAsia="Times New Roman" w:hAnsi="Calibri" w:cs="Times New Roman"/>
          <w:b/>
          <w:kern w:val="0"/>
          <w:sz w:val="20"/>
          <w:szCs w:val="22"/>
          <w:highlight w:val="yellow"/>
          <w:u w:val="single"/>
          <w:lang w:eastAsia="it-IT" w:bidi="ar-SA"/>
        </w:rPr>
        <w:t>20</w:t>
      </w:r>
      <w:r w:rsidRPr="003E0DC6">
        <w:rPr>
          <w:rFonts w:ascii="Calibri" w:eastAsia="Times New Roman" w:hAnsi="Calibri" w:cs="Times New Roman"/>
          <w:kern w:val="0"/>
          <w:sz w:val="20"/>
          <w:szCs w:val="22"/>
          <w:lang w:val="x-none" w:eastAsia="it-IT" w:bidi="ar-SA"/>
        </w:rPr>
        <w:t>, così come indicati nella tabella di valutazione di seguito riportata.</w:t>
      </w:r>
    </w:p>
    <w:p w:rsidR="003E0DC6" w:rsidRPr="003E0DC6" w:rsidRDefault="003E0DC6" w:rsidP="003E0DC6">
      <w:pPr>
        <w:suppressAutoHyphens w:val="0"/>
        <w:autoSpaceDN/>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Nel caso di parità di punteggio il Consiglio Direttivo terrà conto anche:</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maggiore anzianità di affiliazione;</w:t>
      </w:r>
    </w:p>
    <w:p w:rsidR="003E0DC6" w:rsidRPr="003E0DC6" w:rsidRDefault="003E0DC6" w:rsidP="003E0DC6">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eventuali esigenze organizzative relative alla composizione dei gironi dei Campionati.</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In via prioritaria le Società aspiranti, unitamente al modulo della domanda di ammissione ed al versamento della tassa (da effettuare a mezzo assegno circolare intestato a </w:t>
      </w:r>
      <w:r w:rsidRPr="003E0DC6">
        <w:rPr>
          <w:rFonts w:ascii="Calibri" w:eastAsia="Times New Roman" w:hAnsi="Calibri" w:cs="Times New Roman"/>
          <w:b/>
          <w:kern w:val="0"/>
          <w:sz w:val="20"/>
          <w:szCs w:val="22"/>
          <w:lang w:val="x-none" w:eastAsia="it-IT" w:bidi="ar-SA"/>
        </w:rPr>
        <w:t>L.N.D. Comitato Regionale Abruzzo</w:t>
      </w:r>
      <w:r w:rsidRPr="003E0DC6">
        <w:rPr>
          <w:rFonts w:ascii="Calibri" w:eastAsia="Times New Roman" w:hAnsi="Calibri" w:cs="Times New Roman"/>
          <w:kern w:val="0"/>
          <w:sz w:val="20"/>
          <w:szCs w:val="22"/>
          <w:lang w:val="x-none" w:eastAsia="it-IT" w:bidi="ar-SA"/>
        </w:rPr>
        <w:t xml:space="preserve"> </w:t>
      </w:r>
      <w:r w:rsidRPr="003E0DC6">
        <w:rPr>
          <w:rFonts w:ascii="Calibri" w:eastAsia="Times New Roman" w:hAnsi="Calibri" w:cs="Times New Roman"/>
          <w:i/>
          <w:kern w:val="0"/>
          <w:sz w:val="20"/>
          <w:szCs w:val="22"/>
          <w:u w:val="single"/>
          <w:lang w:val="x-none" w:eastAsia="it-IT" w:bidi="ar-SA"/>
        </w:rPr>
        <w:t>e/o bonifico</w:t>
      </w:r>
      <w:r w:rsidRPr="003E0DC6">
        <w:rPr>
          <w:rFonts w:ascii="Calibri" w:eastAsia="Times New Roman" w:hAnsi="Calibri" w:cs="Times New Roman"/>
          <w:kern w:val="0"/>
          <w:sz w:val="20"/>
          <w:szCs w:val="22"/>
          <w:lang w:val="x-none" w:eastAsia="it-IT" w:bidi="ar-SA"/>
        </w:rPr>
        <w:t xml:space="preserve"> </w:t>
      </w:r>
      <w:r w:rsidRPr="003E0DC6">
        <w:rPr>
          <w:rFonts w:ascii="Calibri" w:eastAsia="Times New Roman" w:hAnsi="Calibri" w:cs="Times New Roman"/>
          <w:b/>
          <w:kern w:val="0"/>
          <w:sz w:val="20"/>
          <w:szCs w:val="22"/>
          <w:lang w:val="x-none" w:eastAsia="it-IT" w:bidi="ar-SA"/>
        </w:rPr>
        <w:t xml:space="preserve">IBAN: IT 67 I 01005 03600 000000012370 – n.b. in questo caso allegare tassativamente la copia ricevuta bonifico effettuato) </w:t>
      </w:r>
      <w:r w:rsidRPr="003E0DC6">
        <w:rPr>
          <w:rFonts w:ascii="Calibri" w:eastAsia="Times New Roman" w:hAnsi="Calibri" w:cs="Times New Roman"/>
          <w:kern w:val="0"/>
          <w:sz w:val="20"/>
          <w:szCs w:val="22"/>
          <w:lang w:val="x-none" w:eastAsia="it-IT" w:bidi="ar-SA"/>
        </w:rPr>
        <w:t xml:space="preserve">dovuta per il campionato a cui chiede di partecipare </w:t>
      </w:r>
      <w:r w:rsidRPr="003E0DC6">
        <w:rPr>
          <w:rFonts w:ascii="Calibri" w:eastAsia="Times New Roman" w:hAnsi="Calibri" w:cs="Times New Roman"/>
          <w:b/>
          <w:i/>
          <w:kern w:val="0"/>
          <w:sz w:val="20"/>
          <w:szCs w:val="22"/>
          <w:lang w:val="x-none" w:eastAsia="it-IT" w:bidi="ar-SA"/>
        </w:rPr>
        <w:t>(per modulistica, adempimenti vari e date di scadenza visionare il CU n. 61 del Comitato Regionale Abruzzo)</w:t>
      </w:r>
      <w:r w:rsidRPr="003E0DC6">
        <w:rPr>
          <w:rFonts w:ascii="Calibri" w:eastAsia="Times New Roman" w:hAnsi="Calibri" w:cs="Times New Roman"/>
          <w:kern w:val="0"/>
          <w:sz w:val="20"/>
          <w:szCs w:val="22"/>
          <w:lang w:val="x-none" w:eastAsia="it-IT" w:bidi="ar-SA"/>
        </w:rPr>
        <w:t xml:space="preserve">, dovranno produrre documentazione attestante </w:t>
      </w:r>
      <w:r w:rsidRPr="003E0DC6">
        <w:rPr>
          <w:rFonts w:ascii="Calibri" w:eastAsia="Times New Roman" w:hAnsi="Calibri" w:cs="Times New Roman"/>
          <w:b/>
          <w:kern w:val="0"/>
          <w:sz w:val="20"/>
          <w:szCs w:val="22"/>
          <w:u w:val="single"/>
          <w:lang w:val="x-none" w:eastAsia="it-IT" w:bidi="ar-SA"/>
        </w:rPr>
        <w:t>la disponibilità di un impianto di giuoco</w:t>
      </w:r>
      <w:r w:rsidRPr="003E0DC6">
        <w:rPr>
          <w:rFonts w:ascii="Calibri" w:eastAsia="Times New Roman" w:hAnsi="Calibri" w:cs="Times New Roman"/>
          <w:b/>
          <w:kern w:val="0"/>
          <w:sz w:val="20"/>
          <w:szCs w:val="22"/>
          <w:lang w:val="x-none" w:eastAsia="it-IT" w:bidi="ar-SA"/>
        </w:rPr>
        <w:t xml:space="preserve"> </w:t>
      </w:r>
      <w:r w:rsidRPr="003E0DC6">
        <w:rPr>
          <w:rFonts w:ascii="Calibri" w:eastAsia="Times New Roman" w:hAnsi="Calibri" w:cs="Times New Roman"/>
          <w:kern w:val="0"/>
          <w:sz w:val="20"/>
          <w:szCs w:val="22"/>
          <w:lang w:val="x-none" w:eastAsia="it-IT" w:bidi="ar-SA"/>
        </w:rPr>
        <w:t>– rilasciata dall’Ente proprietario dell’impianto stesso - aventi le caratteristiche di cui all’art. 31 del Regolamento della L.N.D. e ricadenti nel Comune ove la Società ha la propria sede Sociale (art.19 delle N.O.I.F.), con indicate le misure del campo di giuoco.</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L’articolo 29 (ex 25) del Regolamento della Lega Nazionale Dilettanti prevede che, nel caso di rinuncia ai Campionati o di disponibilità di posti per altri motivi, il completamento degli organici è di competenza del Consiglio Direttivo del Comitato Regionale Abruzzo L.N.D. Le domande di completamento degli organici devono pervenire od essere consegnate, presso la sede del Comitato Regionale, sita in Via F. Savini n. 25 – 67100 L’Aquila - tassativamente nel periodo:</w:t>
      </w:r>
    </w:p>
    <w:p w:rsidR="003E0DC6" w:rsidRPr="003E0DC6" w:rsidRDefault="003E0DC6" w:rsidP="003E0DC6">
      <w:pPr>
        <w:suppressAutoHyphens w:val="0"/>
        <w:autoSpaceDN/>
        <w:jc w:val="both"/>
        <w:rPr>
          <w:rFonts w:ascii="Calibri" w:eastAsia="Times New Roman" w:hAnsi="Calibri" w:cs="Times New Roman"/>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Times New Roman"/>
          <w:b/>
          <w:i/>
          <w:color w:val="244061"/>
          <w:kern w:val="0"/>
          <w:sz w:val="34"/>
          <w:szCs w:val="34"/>
          <w:u w:val="single"/>
          <w:lang w:val="x-none" w:eastAsia="it-IT" w:bidi="ar-SA"/>
        </w:rPr>
      </w:pPr>
      <w:r w:rsidRPr="003E0DC6">
        <w:rPr>
          <w:rFonts w:ascii="Calibri" w:eastAsia="Times New Roman" w:hAnsi="Calibri" w:cs="Times New Roman"/>
          <w:b/>
          <w:i/>
          <w:color w:val="244061"/>
          <w:kern w:val="0"/>
          <w:sz w:val="34"/>
          <w:szCs w:val="34"/>
          <w:highlight w:val="yellow"/>
          <w:u w:val="single"/>
          <w:lang w:val="x-none" w:eastAsia="it-IT" w:bidi="ar-SA"/>
        </w:rPr>
        <w:t>dall’ 11 Giugno 201</w:t>
      </w:r>
      <w:r w:rsidRPr="003E0DC6">
        <w:rPr>
          <w:rFonts w:ascii="Calibri" w:eastAsia="Times New Roman" w:hAnsi="Calibri" w:cs="Times New Roman"/>
          <w:b/>
          <w:i/>
          <w:color w:val="244061"/>
          <w:kern w:val="0"/>
          <w:sz w:val="34"/>
          <w:szCs w:val="34"/>
          <w:highlight w:val="yellow"/>
          <w:u w:val="single"/>
          <w:lang w:eastAsia="it-IT" w:bidi="ar-SA"/>
        </w:rPr>
        <w:t>9</w:t>
      </w:r>
      <w:r w:rsidRPr="003E0DC6">
        <w:rPr>
          <w:rFonts w:ascii="Calibri" w:eastAsia="Times New Roman" w:hAnsi="Calibri" w:cs="Times New Roman"/>
          <w:b/>
          <w:i/>
          <w:color w:val="244061"/>
          <w:kern w:val="0"/>
          <w:sz w:val="34"/>
          <w:szCs w:val="34"/>
          <w:highlight w:val="yellow"/>
          <w:u w:val="single"/>
          <w:lang w:val="x-none" w:eastAsia="it-IT" w:bidi="ar-SA"/>
        </w:rPr>
        <w:t xml:space="preserve"> al 2</w:t>
      </w:r>
      <w:r w:rsidRPr="003E0DC6">
        <w:rPr>
          <w:rFonts w:ascii="Calibri" w:eastAsia="Times New Roman" w:hAnsi="Calibri" w:cs="Times New Roman"/>
          <w:b/>
          <w:i/>
          <w:color w:val="244061"/>
          <w:kern w:val="0"/>
          <w:sz w:val="34"/>
          <w:szCs w:val="34"/>
          <w:highlight w:val="yellow"/>
          <w:u w:val="single"/>
          <w:lang w:eastAsia="it-IT" w:bidi="ar-SA"/>
        </w:rPr>
        <w:t>7</w:t>
      </w:r>
      <w:r w:rsidRPr="003E0DC6">
        <w:rPr>
          <w:rFonts w:ascii="Calibri" w:eastAsia="Times New Roman" w:hAnsi="Calibri" w:cs="Times New Roman"/>
          <w:b/>
          <w:i/>
          <w:color w:val="244061"/>
          <w:kern w:val="0"/>
          <w:sz w:val="34"/>
          <w:szCs w:val="34"/>
          <w:highlight w:val="yellow"/>
          <w:u w:val="single"/>
          <w:lang w:val="x-none" w:eastAsia="it-IT" w:bidi="ar-SA"/>
        </w:rPr>
        <w:t xml:space="preserve"> Giugno 201</w:t>
      </w:r>
      <w:r w:rsidRPr="003E0DC6">
        <w:rPr>
          <w:rFonts w:ascii="Calibri" w:eastAsia="Times New Roman" w:hAnsi="Calibri" w:cs="Times New Roman"/>
          <w:b/>
          <w:i/>
          <w:color w:val="244061"/>
          <w:kern w:val="0"/>
          <w:sz w:val="34"/>
          <w:szCs w:val="34"/>
          <w:highlight w:val="yellow"/>
          <w:u w:val="single"/>
          <w:lang w:eastAsia="it-IT" w:bidi="ar-SA"/>
        </w:rPr>
        <w:t>9</w:t>
      </w:r>
      <w:r w:rsidRPr="003E0DC6">
        <w:rPr>
          <w:rFonts w:ascii="Calibri" w:eastAsia="Times New Roman" w:hAnsi="Calibri" w:cs="Times New Roman"/>
          <w:b/>
          <w:i/>
          <w:color w:val="244061"/>
          <w:kern w:val="0"/>
          <w:sz w:val="34"/>
          <w:szCs w:val="34"/>
          <w:highlight w:val="yellow"/>
          <w:u w:val="single"/>
          <w:lang w:val="x-none" w:eastAsia="it-IT" w:bidi="ar-SA"/>
        </w:rPr>
        <w:t xml:space="preserve"> - entro le ore 12.00</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Le domande sprovviste della tassa e della documentazione attestante la disponibilità dell’impianto di giuoco </w:t>
      </w:r>
      <w:r w:rsidRPr="003E0DC6">
        <w:rPr>
          <w:rFonts w:ascii="Calibri" w:eastAsia="Times New Roman" w:hAnsi="Calibri" w:cs="Times New Roman"/>
          <w:kern w:val="0"/>
          <w:sz w:val="20"/>
          <w:szCs w:val="22"/>
          <w:u w:val="single"/>
          <w:lang w:val="x-none" w:eastAsia="it-IT" w:bidi="ar-SA"/>
        </w:rPr>
        <w:t>non verranno prese in considerazione.</w:t>
      </w:r>
    </w:p>
    <w:p w:rsidR="003E0DC6" w:rsidRPr="003E0DC6" w:rsidRDefault="003E0DC6" w:rsidP="003E0DC6">
      <w:pPr>
        <w:tabs>
          <w:tab w:val="left" w:pos="720"/>
        </w:tabs>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spacing w:line="0" w:lineRule="atLeast"/>
        <w:jc w:val="both"/>
        <w:rPr>
          <w:rFonts w:ascii="Calibri" w:eastAsia="Times New Roman" w:hAnsi="Calibri" w:cs="Times New Roman"/>
          <w:b/>
          <w:kern w:val="0"/>
          <w:sz w:val="20"/>
          <w:szCs w:val="22"/>
          <w:lang w:val="x-none" w:eastAsia="it-IT" w:bidi="ar-SA"/>
        </w:rPr>
      </w:pPr>
      <w:r w:rsidRPr="003E0DC6">
        <w:rPr>
          <w:rFonts w:ascii="Calibri" w:eastAsia="Times New Roman" w:hAnsi="Calibri" w:cs="Times New Roman"/>
          <w:b/>
          <w:kern w:val="0"/>
          <w:sz w:val="20"/>
          <w:szCs w:val="22"/>
          <w:lang w:val="x-none" w:eastAsia="it-IT" w:bidi="ar-SA"/>
        </w:rPr>
        <w:t>NON POSSONO PRESENTARE DOMANDA DI “RIPESCAGGIO”:</w:t>
      </w:r>
    </w:p>
    <w:p w:rsidR="003E0DC6" w:rsidRPr="003E0DC6" w:rsidRDefault="003E0DC6" w:rsidP="003E0DC6">
      <w:pPr>
        <w:suppressAutoHyphens w:val="0"/>
        <w:autoSpaceDN/>
        <w:spacing w:line="0" w:lineRule="atLeast"/>
        <w:jc w:val="both"/>
        <w:rPr>
          <w:rFonts w:ascii="Calibri" w:eastAsia="Times New Roman" w:hAnsi="Calibri" w:cs="Times New Roman"/>
          <w:kern w:val="0"/>
          <w:sz w:val="20"/>
          <w:szCs w:val="22"/>
          <w:lang w:val="x-none" w:eastAsia="it-IT" w:bidi="ar-SA"/>
        </w:rPr>
      </w:pPr>
    </w:p>
    <w:p w:rsidR="003E0DC6" w:rsidRPr="003E0DC6" w:rsidRDefault="003E0DC6" w:rsidP="003E0DC6">
      <w:pPr>
        <w:widowControl w:val="0"/>
        <w:numPr>
          <w:ilvl w:val="0"/>
          <w:numId w:val="31"/>
        </w:numPr>
        <w:suppressAutoHyphens w:val="0"/>
        <w:autoSpaceDN/>
        <w:spacing w:line="0" w:lineRule="atLeast"/>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che non hanno maturato almeno due anni di anzianità;</w:t>
      </w:r>
    </w:p>
    <w:p w:rsidR="003E0DC6" w:rsidRPr="003E0DC6" w:rsidRDefault="003E0DC6" w:rsidP="003E0DC6">
      <w:pPr>
        <w:widowControl w:val="0"/>
        <w:numPr>
          <w:ilvl w:val="0"/>
          <w:numId w:val="31"/>
        </w:numPr>
        <w:suppressAutoHyphens w:val="0"/>
        <w:autoSpaceDN/>
        <w:spacing w:line="0" w:lineRule="atLeast"/>
        <w:jc w:val="both"/>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che hanno fruito del beneficio durante le ultime tre stagioni (vale a dire Stagione Sportiva 201</w:t>
      </w:r>
      <w:r w:rsidRPr="003E0DC6">
        <w:rPr>
          <w:rFonts w:ascii="Calibri" w:eastAsia="Times New Roman" w:hAnsi="Calibri" w:cs="Times New Roman"/>
          <w:bCs/>
          <w:i/>
          <w:kern w:val="0"/>
          <w:sz w:val="22"/>
          <w:szCs w:val="22"/>
          <w:lang w:eastAsia="it-IT" w:bidi="ar-SA"/>
        </w:rPr>
        <w:t>6</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7</w:t>
      </w:r>
      <w:r w:rsidRPr="003E0DC6">
        <w:rPr>
          <w:rFonts w:ascii="Calibri" w:eastAsia="Times New Roman" w:hAnsi="Calibri" w:cs="Times New Roman"/>
          <w:bCs/>
          <w:i/>
          <w:kern w:val="0"/>
          <w:sz w:val="22"/>
          <w:szCs w:val="22"/>
          <w:lang w:val="x-none" w:eastAsia="it-IT" w:bidi="ar-SA"/>
        </w:rPr>
        <w:t>, 201</w:t>
      </w:r>
      <w:r w:rsidRPr="003E0DC6">
        <w:rPr>
          <w:rFonts w:ascii="Calibri" w:eastAsia="Times New Roman" w:hAnsi="Calibri" w:cs="Times New Roman"/>
          <w:bCs/>
          <w:i/>
          <w:kern w:val="0"/>
          <w:sz w:val="22"/>
          <w:szCs w:val="22"/>
          <w:lang w:eastAsia="it-IT" w:bidi="ar-SA"/>
        </w:rPr>
        <w:t>7</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w:t>
      </w:r>
      <w:r w:rsidRPr="003E0DC6">
        <w:rPr>
          <w:rFonts w:ascii="Calibri" w:eastAsia="Times New Roman" w:hAnsi="Calibri" w:cs="Times New Roman"/>
          <w:bCs/>
          <w:i/>
          <w:kern w:val="0"/>
          <w:sz w:val="22"/>
          <w:szCs w:val="22"/>
          <w:lang w:eastAsia="it-IT" w:bidi="ar-SA"/>
        </w:rPr>
        <w:t xml:space="preserve"> </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w:t>
      </w:r>
    </w:p>
    <w:p w:rsidR="003E0DC6" w:rsidRPr="003E0DC6" w:rsidRDefault="003E0DC6" w:rsidP="003E0DC6">
      <w:pPr>
        <w:widowControl w:val="0"/>
        <w:numPr>
          <w:ilvl w:val="0"/>
          <w:numId w:val="31"/>
        </w:numPr>
        <w:suppressAutoHyphens w:val="0"/>
        <w:autoSpaceDN/>
        <w:spacing w:line="0" w:lineRule="atLeast"/>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la Società ultima classificata al termine della stagione sportiva 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w:t>
      </w:r>
    </w:p>
    <w:p w:rsidR="003E0DC6" w:rsidRPr="003E0DC6" w:rsidRDefault="003E0DC6" w:rsidP="003E0DC6">
      <w:pPr>
        <w:widowControl w:val="0"/>
        <w:numPr>
          <w:ilvl w:val="0"/>
          <w:numId w:val="31"/>
        </w:numPr>
        <w:suppressAutoHyphens w:val="0"/>
        <w:autoSpaceDN/>
        <w:spacing w:line="0" w:lineRule="atLeast"/>
        <w:jc w:val="both"/>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il cui Presidente o Dirigente tesserato , nella Stagione Sportiva 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 xml:space="preserve"> / 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 hanno avuto la sanzione dell’inibizione di durata complessiva superiore a 12 mesi.</w:t>
      </w:r>
    </w:p>
    <w:p w:rsidR="003E0DC6" w:rsidRPr="003E0DC6" w:rsidRDefault="003E0DC6" w:rsidP="003E0DC6">
      <w:pPr>
        <w:suppressAutoHyphens w:val="0"/>
        <w:autoSpaceDN/>
        <w:spacing w:line="0" w:lineRule="atLeast"/>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spacing w:line="0" w:lineRule="atLeast"/>
        <w:jc w:val="center"/>
        <w:rPr>
          <w:rFonts w:ascii="Calibri" w:eastAsia="Times New Roman" w:hAnsi="Calibri" w:cs="Times New Roman"/>
          <w:kern w:val="0"/>
          <w:sz w:val="28"/>
          <w:szCs w:val="28"/>
          <w:lang w:val="x-none" w:eastAsia="it-IT" w:bidi="ar-SA"/>
        </w:rPr>
      </w:pPr>
      <w:hyperlink r:id="rId15" w:history="1">
        <w:r w:rsidRPr="003E0DC6">
          <w:rPr>
            <w:rFonts w:ascii="Calibri" w:eastAsia="Times New Roman" w:hAnsi="Calibri" w:cs="Times New Roman"/>
            <w:color w:val="0000FF"/>
            <w:kern w:val="0"/>
            <w:sz w:val="28"/>
            <w:szCs w:val="28"/>
            <w:u w:val="single"/>
            <w:lang w:val="x-none" w:eastAsia="it-IT" w:bidi="ar-SA"/>
          </w:rPr>
          <w:t>SCARICA LA DOMANDA PER IL CALCIO A 11</w:t>
        </w:r>
      </w:hyperlink>
    </w:p>
    <w:p w:rsidR="003E0DC6" w:rsidRPr="003E0DC6" w:rsidRDefault="003E0DC6" w:rsidP="003E0DC6">
      <w:pPr>
        <w:suppressAutoHyphens w:val="0"/>
        <w:autoSpaceDN/>
        <w:spacing w:after="480" w:line="0" w:lineRule="atLeast"/>
        <w:jc w:val="center"/>
        <w:rPr>
          <w:rFonts w:ascii="Calibri" w:eastAsia="Times New Roman" w:hAnsi="Calibri" w:cs="Times New Roman"/>
          <w:kern w:val="0"/>
          <w:sz w:val="28"/>
          <w:szCs w:val="28"/>
          <w:lang w:val="x-none" w:eastAsia="it-IT" w:bidi="ar-SA"/>
        </w:rPr>
      </w:pPr>
      <w:hyperlink r:id="rId16" w:history="1">
        <w:r w:rsidRPr="003E0DC6">
          <w:rPr>
            <w:rFonts w:ascii="Calibri" w:eastAsia="Times New Roman" w:hAnsi="Calibri" w:cs="Times New Roman"/>
            <w:color w:val="0000FF"/>
            <w:kern w:val="0"/>
            <w:sz w:val="28"/>
            <w:szCs w:val="28"/>
            <w:u w:val="single"/>
            <w:lang w:val="x-none" w:eastAsia="it-IT" w:bidi="ar-SA"/>
          </w:rPr>
          <w:t>SCARICA LA DOMANDA PER IL CALCIO A 5</w:t>
        </w:r>
      </w:hyperlink>
    </w:p>
    <w:p w:rsidR="003E0DC6" w:rsidRPr="00700ABE" w:rsidRDefault="003E0DC6" w:rsidP="003E0DC6">
      <w:pPr>
        <w:pStyle w:val="LndTitolo1"/>
        <w:spacing w:before="120" w:after="120"/>
        <w:ind w:left="0"/>
        <w:jc w:val="both"/>
        <w:rPr>
          <w:rFonts w:ascii="Calibri" w:hAnsi="Calibri" w:cs="Calibri"/>
          <w:smallCaps w:val="0"/>
          <w:noProof w:val="0"/>
          <w:sz w:val="32"/>
          <w:szCs w:val="32"/>
          <w:u w:val="none"/>
        </w:rPr>
      </w:pPr>
      <w:r w:rsidRPr="00700ABE">
        <w:rPr>
          <w:rFonts w:ascii="Calibri" w:hAnsi="Calibri" w:cs="Calibri"/>
          <w:smallCaps w:val="0"/>
          <w:noProof w:val="0"/>
          <w:sz w:val="32"/>
          <w:szCs w:val="32"/>
          <w:u w:val="none"/>
        </w:rPr>
        <w:lastRenderedPageBreak/>
        <w:t>DOMANDA PER CAMBIO DI DENOMINAZIONE SOCIALE, DOMANDA PER CAMBIO DI SEDE SOCIALE, DOMANDA DI FUSIONE FRA SOCIETÀ</w:t>
      </w:r>
    </w:p>
    <w:p w:rsidR="003E0DC6" w:rsidRPr="00700ABE" w:rsidRDefault="003E0DC6" w:rsidP="003E0DC6">
      <w:pPr>
        <w:pStyle w:val="LndNormale1"/>
        <w:jc w:val="left"/>
        <w:rPr>
          <w:rFonts w:ascii="Calibri" w:hAnsi="Calibri" w:cs="Arial"/>
          <w:szCs w:val="22"/>
        </w:rPr>
      </w:pPr>
    </w:p>
    <w:p w:rsidR="003E0DC6" w:rsidRPr="00700ABE" w:rsidRDefault="003E0DC6" w:rsidP="003E0DC6">
      <w:pPr>
        <w:pStyle w:val="LndNormale1"/>
        <w:rPr>
          <w:rFonts w:ascii="Calibri" w:hAnsi="Calibri"/>
          <w:b/>
          <w:szCs w:val="22"/>
          <w:u w:val="single"/>
        </w:rPr>
      </w:pPr>
      <w:r w:rsidRPr="00700ABE">
        <w:rPr>
          <w:rFonts w:ascii="Calibri" w:hAnsi="Calibri" w:cs="Arial"/>
          <w:szCs w:val="22"/>
        </w:rPr>
        <w:t xml:space="preserve">Si ricorda che le suddette domande, da redigersi sugli appositi moduli da </w:t>
      </w:r>
      <w:r w:rsidRPr="00700ABE">
        <w:rPr>
          <w:rFonts w:ascii="Calibri" w:hAnsi="Calibri" w:cs="Arial"/>
          <w:b/>
          <w:szCs w:val="22"/>
        </w:rPr>
        <w:t xml:space="preserve">scaricare attraverso il link “servizi” del sito </w:t>
      </w:r>
      <w:r>
        <w:rPr>
          <w:rFonts w:ascii="Calibri" w:hAnsi="Calibri" w:cs="Arial"/>
          <w:b/>
          <w:szCs w:val="22"/>
        </w:rPr>
        <w:t>abruzzo.lnd</w:t>
      </w:r>
      <w:r w:rsidRPr="00700ABE">
        <w:rPr>
          <w:rFonts w:ascii="Calibri" w:hAnsi="Calibri" w:cs="Arial"/>
          <w:b/>
          <w:szCs w:val="22"/>
        </w:rPr>
        <w:t>.it</w:t>
      </w:r>
      <w:r w:rsidRPr="00700ABE">
        <w:rPr>
          <w:rFonts w:ascii="Calibri" w:hAnsi="Calibri" w:cs="Arial"/>
          <w:szCs w:val="22"/>
        </w:rPr>
        <w:t xml:space="preserve"> (moduli che si possono anche richiedere o ritirare presso il Comitato Regionale Abruzzo – </w:t>
      </w:r>
      <w:r w:rsidRPr="00700ABE">
        <w:rPr>
          <w:rFonts w:ascii="Calibri" w:hAnsi="Calibri" w:cs="Arial"/>
          <w:b/>
          <w:szCs w:val="22"/>
        </w:rPr>
        <w:t xml:space="preserve">Via </w:t>
      </w:r>
      <w:r>
        <w:rPr>
          <w:rFonts w:ascii="Calibri" w:hAnsi="Calibri" w:cs="Arial"/>
          <w:b/>
          <w:szCs w:val="22"/>
        </w:rPr>
        <w:t>Lanciano snc</w:t>
      </w:r>
      <w:r w:rsidRPr="00700ABE">
        <w:rPr>
          <w:rFonts w:ascii="Calibri" w:hAnsi="Calibri" w:cs="Arial"/>
          <w:b/>
          <w:szCs w:val="22"/>
        </w:rPr>
        <w:t xml:space="preserve"> –67100 L’Aquila - Tel. 0862/42</w:t>
      </w:r>
      <w:r>
        <w:rPr>
          <w:rFonts w:ascii="Calibri" w:hAnsi="Calibri" w:cs="Arial"/>
          <w:b/>
          <w:szCs w:val="22"/>
        </w:rPr>
        <w:t>681; Fax 0862/65177</w:t>
      </w:r>
      <w:r w:rsidRPr="00700ABE">
        <w:rPr>
          <w:rFonts w:ascii="Calibri" w:hAnsi="Calibri" w:cs="Arial"/>
          <w:b/>
          <w:szCs w:val="22"/>
        </w:rPr>
        <w:t xml:space="preserve">; e-mail:crlnd.abruzzo01@figc.it) </w:t>
      </w:r>
      <w:r w:rsidRPr="00700ABE">
        <w:rPr>
          <w:rFonts w:ascii="Calibri" w:hAnsi="Calibri" w:cs="Arial"/>
          <w:szCs w:val="22"/>
        </w:rPr>
        <w:t xml:space="preserve">corredate dalla prescritta documentazione, </w:t>
      </w:r>
      <w:r w:rsidRPr="00700ABE">
        <w:rPr>
          <w:rFonts w:ascii="Calibri" w:hAnsi="Calibri"/>
          <w:b/>
          <w:szCs w:val="22"/>
          <w:u w:val="single"/>
        </w:rPr>
        <w:t>devono pervenire a questo Comitato Regionale entro e non oltre il termine perentorio di</w:t>
      </w:r>
    </w:p>
    <w:p w:rsidR="003E0DC6" w:rsidRPr="009C6960" w:rsidRDefault="003E0DC6" w:rsidP="003E0DC6">
      <w:pPr>
        <w:pStyle w:val="LndNormale1"/>
        <w:rPr>
          <w:rFonts w:ascii="Calibri" w:hAnsi="Calibri"/>
          <w:szCs w:val="22"/>
          <w:u w:val="single"/>
        </w:rPr>
      </w:pPr>
    </w:p>
    <w:p w:rsidR="003E0DC6" w:rsidRPr="00700ABE" w:rsidRDefault="003E0DC6" w:rsidP="003E0DC6">
      <w:pPr>
        <w:pStyle w:val="LndNormale1"/>
        <w:jc w:val="center"/>
        <w:rPr>
          <w:rFonts w:ascii="Calibri" w:hAnsi="Calibri"/>
          <w:b/>
          <w:i/>
          <w:color w:val="244061"/>
          <w:sz w:val="34"/>
          <w:szCs w:val="34"/>
          <w:highlight w:val="yellow"/>
          <w:u w:val="single"/>
        </w:rPr>
      </w:pPr>
      <w:r>
        <w:rPr>
          <w:rFonts w:ascii="Calibri" w:hAnsi="Calibri"/>
          <w:b/>
          <w:i/>
          <w:color w:val="244061"/>
          <w:sz w:val="34"/>
          <w:szCs w:val="34"/>
          <w:highlight w:val="yellow"/>
          <w:u w:val="single"/>
        </w:rPr>
        <w:t>MARTE</w:t>
      </w:r>
      <w:r w:rsidRPr="00700ABE">
        <w:rPr>
          <w:rFonts w:ascii="Calibri" w:hAnsi="Calibri"/>
          <w:b/>
          <w:i/>
          <w:color w:val="244061"/>
          <w:sz w:val="34"/>
          <w:szCs w:val="34"/>
          <w:highlight w:val="yellow"/>
          <w:u w:val="single"/>
        </w:rPr>
        <w:t>DI’ 25 GIUGNO 201</w:t>
      </w:r>
      <w:r>
        <w:rPr>
          <w:rFonts w:ascii="Calibri" w:hAnsi="Calibri"/>
          <w:b/>
          <w:i/>
          <w:color w:val="244061"/>
          <w:sz w:val="34"/>
          <w:szCs w:val="34"/>
          <w:highlight w:val="yellow"/>
          <w:u w:val="single"/>
        </w:rPr>
        <w:t>9</w:t>
      </w:r>
    </w:p>
    <w:p w:rsidR="003E0DC6" w:rsidRPr="009C6960" w:rsidRDefault="003E0DC6" w:rsidP="003E0DC6">
      <w:pPr>
        <w:pStyle w:val="LndNormale1"/>
        <w:rPr>
          <w:rFonts w:ascii="Calibri" w:hAnsi="Calibri" w:cs="Arial"/>
          <w:szCs w:val="22"/>
        </w:rPr>
      </w:pPr>
    </w:p>
    <w:p w:rsidR="003E0DC6" w:rsidRPr="006F2B80" w:rsidRDefault="003E0DC6" w:rsidP="003E0DC6">
      <w:pPr>
        <w:pStyle w:val="LndNormale1"/>
        <w:rPr>
          <w:rFonts w:ascii="Calibri" w:hAnsi="Calibri" w:cs="Arial"/>
          <w:szCs w:val="22"/>
        </w:rPr>
      </w:pPr>
      <w:r w:rsidRPr="006F2B80">
        <w:rPr>
          <w:rFonts w:ascii="Calibri" w:hAnsi="Calibri" w:cs="Arial"/>
          <w:szCs w:val="22"/>
        </w:rPr>
        <w:t>All'uopo, si ritiene opportuno trascrivere, in forma integrale, quanto recitano i sottonotati articoli delle Norme Organizzative Interne della F.I.G.C.</w:t>
      </w:r>
    </w:p>
    <w:p w:rsidR="003E0DC6" w:rsidRPr="006F2B80" w:rsidRDefault="003E0DC6" w:rsidP="003E0DC6">
      <w:pPr>
        <w:pStyle w:val="LndNormale1"/>
        <w:jc w:val="center"/>
        <w:rPr>
          <w:rFonts w:ascii="Calibri" w:hAnsi="Calibri" w:cs="Arial"/>
          <w:sz w:val="16"/>
          <w:szCs w:val="16"/>
        </w:rPr>
      </w:pPr>
    </w:p>
    <w:p w:rsidR="003E0DC6" w:rsidRPr="006F2B80" w:rsidRDefault="003E0DC6" w:rsidP="003E0DC6">
      <w:pPr>
        <w:pStyle w:val="LndNormale1"/>
        <w:jc w:val="center"/>
        <w:rPr>
          <w:rFonts w:ascii="Calibri" w:hAnsi="Calibri" w:cs="Arial"/>
          <w:b/>
          <w:szCs w:val="22"/>
        </w:rPr>
      </w:pPr>
      <w:r w:rsidRPr="006F2B80">
        <w:rPr>
          <w:rFonts w:ascii="Calibri" w:hAnsi="Calibri" w:cs="Arial"/>
          <w:b/>
          <w:szCs w:val="22"/>
        </w:rPr>
        <w:t>Art. 17 N.O.I.F.</w:t>
      </w:r>
    </w:p>
    <w:p w:rsidR="003E0DC6" w:rsidRPr="006F2B80" w:rsidRDefault="003E0DC6" w:rsidP="003E0DC6">
      <w:pPr>
        <w:pStyle w:val="LndNormale1"/>
        <w:jc w:val="center"/>
        <w:rPr>
          <w:rFonts w:ascii="Calibri" w:hAnsi="Calibri" w:cs="Arial"/>
          <w:sz w:val="16"/>
          <w:szCs w:val="16"/>
        </w:rPr>
      </w:pPr>
    </w:p>
    <w:p w:rsidR="003E0DC6" w:rsidRPr="006F2B80" w:rsidRDefault="003E0DC6" w:rsidP="003E0DC6">
      <w:pPr>
        <w:pStyle w:val="LndNormale1"/>
        <w:jc w:val="center"/>
        <w:rPr>
          <w:rFonts w:ascii="Calibri" w:hAnsi="Calibri" w:cs="Arial"/>
          <w:b/>
          <w:szCs w:val="22"/>
        </w:rPr>
      </w:pPr>
      <w:r w:rsidRPr="006F2B80">
        <w:rPr>
          <w:rFonts w:ascii="Calibri" w:hAnsi="Calibri" w:cs="Arial"/>
          <w:b/>
          <w:szCs w:val="22"/>
        </w:rPr>
        <w:t>Denominazione Sociale</w:t>
      </w:r>
    </w:p>
    <w:p w:rsidR="003E0DC6" w:rsidRPr="006F2B80" w:rsidRDefault="003E0DC6" w:rsidP="003E0DC6">
      <w:pPr>
        <w:pStyle w:val="LndNormale1"/>
        <w:jc w:val="center"/>
        <w:rPr>
          <w:rFonts w:ascii="Calibri" w:hAnsi="Calibri" w:cs="Arial"/>
          <w:sz w:val="16"/>
          <w:szCs w:val="16"/>
        </w:rPr>
      </w:pPr>
    </w:p>
    <w:p w:rsidR="003E0DC6" w:rsidRPr="006F2B80" w:rsidRDefault="003E0DC6" w:rsidP="003E0DC6">
      <w:pPr>
        <w:pStyle w:val="LndNormale1"/>
        <w:rPr>
          <w:rFonts w:ascii="Calibri" w:hAnsi="Calibri" w:cs="Arial"/>
          <w:szCs w:val="22"/>
        </w:rPr>
      </w:pPr>
      <w:r w:rsidRPr="006F2B80">
        <w:rPr>
          <w:rFonts w:ascii="Calibri" w:hAnsi="Calibri" w:cs="Arial"/>
          <w:szCs w:val="22"/>
        </w:rPr>
        <w:t>1) La Denominazione Sociale risultante dall'atto di affiliazione è tutelata dalla F.I.G.C. secondo i principi della priorità e dell'ordinato andamento delle attività sportive.</w:t>
      </w: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val="x-none" w:eastAsia="it-IT" w:bidi="ar-SA"/>
        </w:rPr>
      </w:pPr>
      <w:r w:rsidRPr="006F2B80">
        <w:rPr>
          <w:rFonts w:ascii="Calibri" w:hAnsi="Calibri" w:cs="Arial"/>
          <w:szCs w:val="22"/>
        </w:rPr>
        <w:t>2) Il mutamento di denominazione sociale delle Società può essere autorizzato, sentito il parere della Lega competente o del Settore per l’Attività Giovanile e Scolastica , dal Presidente della</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F.I.G.C. su istanza da inoltrare improrogabilmente entro il 15 luglio di ciascun anno ; per le Società associate alla Lega Nazionale Dilettanti tale termine è anticipato al 5 luglio. All'istanza vanno allegati, in copia autentica, il verbale dell'Assemblea che ha deliberato il mutamento di denominazione, l'atto costitutivo, lo Statuto Sociale e l'elenco nominativo dei componenti l'organo o gli organi direttivi. Non è ammessa l'integrale sostituzione della denominazione sociale con altra avente esclusivo carattere propagandistico o pubblicitario.</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3) Per la lega Professionisti Serie C è ammessa l’integrazione della denominazione sociale con il nome dell’eventuale sponsor nel rispetto delle condizioni previste al riguardo nel regolamento di detta Lega.</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E0DC6" w:rsidRPr="003E0DC6" w:rsidTr="00A03697">
        <w:tc>
          <w:tcPr>
            <w:tcW w:w="9778" w:type="dxa"/>
          </w:tcPr>
          <w:p w:rsidR="003E0DC6" w:rsidRPr="003E0DC6" w:rsidRDefault="003E0DC6" w:rsidP="003E0DC6">
            <w:pPr>
              <w:suppressAutoHyphens w:val="0"/>
              <w:autoSpaceDE w:val="0"/>
              <w:adjustRightInd w:val="0"/>
              <w:jc w:val="center"/>
              <w:rPr>
                <w:rFonts w:ascii="Calibri" w:eastAsia="Times New Roman" w:hAnsi="Calibri" w:cs="Arial"/>
                <w:b/>
                <w:bCs/>
                <w:i/>
                <w:iCs/>
                <w:color w:val="000000"/>
                <w:kern w:val="0"/>
                <w:lang w:eastAsia="it-IT" w:bidi="ar-SA"/>
              </w:rPr>
            </w:pPr>
            <w:r w:rsidRPr="003E0DC6">
              <w:rPr>
                <w:rFonts w:ascii="Calibri" w:eastAsia="Times New Roman" w:hAnsi="Calibri" w:cs="Arial"/>
                <w:b/>
                <w:bCs/>
                <w:i/>
                <w:iCs/>
                <w:color w:val="000000"/>
                <w:kern w:val="0"/>
                <w:lang w:eastAsia="it-IT" w:bidi="ar-SA"/>
              </w:rPr>
              <w:t>VADEMECUM PER LA COMPILAZIONE DELLE DOMANDE PER CAMBIO DI DENOMINAZIONE SOCIALE</w:t>
            </w:r>
          </w:p>
        </w:tc>
      </w:tr>
    </w:tbl>
    <w:p w:rsidR="003E0DC6" w:rsidRPr="003E0DC6" w:rsidRDefault="003E0DC6" w:rsidP="003E0DC6">
      <w:pPr>
        <w:suppressAutoHyphens w:val="0"/>
        <w:autoSpaceDE w:val="0"/>
        <w:adjustRightInd w:val="0"/>
        <w:rPr>
          <w:rFonts w:ascii="Calibri" w:eastAsia="Times New Roman" w:hAnsi="Calibri" w:cs="Arial"/>
          <w:bCs/>
          <w:iCs/>
          <w:color w:val="000000"/>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
          <w:b/>
          <w:bCs/>
          <w:i/>
          <w:iCs/>
          <w:color w:val="000000"/>
          <w:kern w:val="0"/>
          <w:lang w:eastAsia="it-IT" w:bidi="ar-SA"/>
        </w:rPr>
        <w:t xml:space="preserve">Compilare il relativo modulo </w:t>
      </w:r>
      <w:r w:rsidRPr="003E0DC6">
        <w:rPr>
          <w:rFonts w:ascii="Calibri" w:eastAsia="Times New Roman" w:hAnsi="Calibri" w:cs="ArialMT"/>
          <w:color w:val="000000"/>
          <w:kern w:val="0"/>
          <w:lang w:eastAsia="it-IT" w:bidi="ar-SA"/>
        </w:rPr>
        <w:t xml:space="preserve">da scaricare dal sito </w:t>
      </w:r>
      <w:hyperlink r:id="rId17" w:history="1">
        <w:r w:rsidRPr="003E0DC6">
          <w:rPr>
            <w:rFonts w:ascii="Calibri" w:eastAsia="Times New Roman" w:hAnsi="Calibri" w:cs="Times New Roman"/>
            <w:color w:val="0000FF"/>
            <w:kern w:val="0"/>
            <w:u w:val="single"/>
            <w:lang w:eastAsia="it-IT" w:bidi="ar-SA"/>
          </w:rPr>
          <w:t>abruzzo.lnd.it</w:t>
        </w:r>
      </w:hyperlink>
      <w:r w:rsidRPr="003E0DC6">
        <w:rPr>
          <w:rFonts w:ascii="Calibri" w:eastAsia="Times New Roman" w:hAnsi="Calibri" w:cs="Times New Roman"/>
          <w:color w:val="0000FF"/>
          <w:kern w:val="0"/>
          <w:lang w:eastAsia="it-IT" w:bidi="ar-SA"/>
        </w:rPr>
        <w:t xml:space="preserve"> link servizi </w:t>
      </w:r>
      <w:r w:rsidRPr="003E0DC6">
        <w:rPr>
          <w:rFonts w:ascii="Calibri" w:eastAsia="Times New Roman" w:hAnsi="Calibri" w:cs="ArialMT"/>
          <w:color w:val="000000"/>
          <w:kern w:val="0"/>
          <w:lang w:eastAsia="it-IT" w:bidi="ar-SA"/>
        </w:rPr>
        <w:t xml:space="preserve">– “Domande Fusioni / Cambi di Denominazione” </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MT"/>
          <w:color w:val="000000"/>
          <w:kern w:val="0"/>
          <w:lang w:eastAsia="it-IT" w:bidi="ar-SA"/>
        </w:rPr>
        <w:t xml:space="preserve">- </w:t>
      </w:r>
      <w:r w:rsidRPr="003E0DC6">
        <w:rPr>
          <w:rFonts w:ascii="Calibri" w:eastAsia="Times New Roman" w:hAnsi="Calibri" w:cs="Arial"/>
          <w:b/>
          <w:bCs/>
          <w:color w:val="000000"/>
          <w:kern w:val="0"/>
          <w:lang w:eastAsia="it-IT" w:bidi="ar-SA"/>
        </w:rPr>
        <w:t>LA DOMANDA DI RICHIESTA DI CAMBIO DI DENOMINAZIONE VA COMPILATA COMUNQUE IN ORIGINALE IN 3 COPIE.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3E0DC6">
        <w:rPr>
          <w:rFonts w:ascii="Calibri" w:eastAsia="Times New Roman" w:hAnsi="Calibri" w:cs="Arial"/>
          <w:i/>
          <w:iCs/>
          <w:color w:val="000000"/>
          <w:kern w:val="0"/>
          <w:lang w:eastAsia="it-IT" w:bidi="ar-SA"/>
        </w:rPr>
        <w:t xml:space="preserve">- </w:t>
      </w:r>
      <w:r w:rsidRPr="003E0DC6">
        <w:rPr>
          <w:rFonts w:ascii="Calibri" w:eastAsia="Times New Roman" w:hAnsi="Calibri" w:cs="Arial"/>
          <w:b/>
          <w:bCs/>
          <w:i/>
          <w:iCs/>
          <w:color w:val="FF0000"/>
          <w:kern w:val="0"/>
          <w:lang w:eastAsia="it-IT" w:bidi="ar-SA"/>
        </w:rPr>
        <w:t>allegare tutti i documenti richiesti nella domanda</w:t>
      </w:r>
      <w:r w:rsidRPr="003E0DC6">
        <w:rPr>
          <w:rFonts w:ascii="Calibri" w:eastAsia="Times New Roman" w:hAnsi="Calibri" w:cs="Arial"/>
          <w:b/>
          <w:bCs/>
          <w:i/>
          <w:iCs/>
          <w:color w:val="000000"/>
          <w:kern w:val="0"/>
          <w:lang w:eastAsia="it-IT" w:bidi="ar-SA"/>
        </w:rPr>
        <w:t>.</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IMPORTANTE: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La denominazione sociale dovrà essere comunque compatibile con quelle di altre Società.</w:t>
      </w:r>
    </w:p>
    <w:p w:rsidR="003E0DC6" w:rsidRDefault="003E0DC6" w:rsidP="003E0DC6">
      <w:pPr>
        <w:spacing w:after="240" w:line="276" w:lineRule="auto"/>
        <w:jc w:val="both"/>
        <w:rPr>
          <w:rFonts w:ascii="Calibri" w:hAnsi="Calibri" w:cs="Calibri"/>
          <w:sz w:val="22"/>
          <w:szCs w:val="22"/>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L’esistenza di altra Società con identica o similare denominazione comporta, per la Società</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highlight w:val="yellow"/>
          <w:lang w:eastAsia="it-IT" w:bidi="ar-SA"/>
        </w:rPr>
      </w:pPr>
      <w:r w:rsidRPr="003E0DC6">
        <w:rPr>
          <w:rFonts w:ascii="Calibri" w:eastAsia="Times New Roman" w:hAnsi="Calibri" w:cs="Arial"/>
          <w:b/>
          <w:bCs/>
          <w:color w:val="000000"/>
          <w:kern w:val="0"/>
          <w:lang w:eastAsia="it-IT" w:bidi="ar-SA"/>
        </w:rPr>
        <w:t xml:space="preserve">interessata l’inserimento di </w:t>
      </w:r>
      <w:r w:rsidRPr="003E0DC6">
        <w:rPr>
          <w:rFonts w:ascii="Calibri" w:eastAsia="Times New Roman" w:hAnsi="Calibri" w:cs="Arial"/>
          <w:b/>
          <w:bCs/>
          <w:color w:val="000000"/>
          <w:kern w:val="0"/>
          <w:highlight w:val="yellow"/>
          <w:lang w:eastAsia="it-IT" w:bidi="ar-SA"/>
        </w:rPr>
        <w:t xml:space="preserve">un’aggettivazione che deve </w:t>
      </w:r>
      <w:r w:rsidRPr="003E0DC6">
        <w:rPr>
          <w:rFonts w:ascii="Calibri" w:eastAsia="Times New Roman" w:hAnsi="Calibri" w:cs="Arial"/>
          <w:b/>
          <w:bCs/>
          <w:color w:val="000000"/>
          <w:kern w:val="0"/>
          <w:highlight w:val="yellow"/>
          <w:u w:val="single"/>
          <w:lang w:eastAsia="it-IT" w:bidi="ar-SA"/>
        </w:rPr>
        <w:t xml:space="preserve">sempre </w:t>
      </w:r>
      <w:r w:rsidRPr="003E0DC6">
        <w:rPr>
          <w:rFonts w:ascii="Calibri" w:eastAsia="Times New Roman" w:hAnsi="Calibri" w:cs="Arial"/>
          <w:b/>
          <w:bCs/>
          <w:color w:val="000000"/>
          <w:kern w:val="0"/>
          <w:highlight w:val="yellow"/>
          <w:lang w:eastAsia="it-IT" w:bidi="ar-SA"/>
        </w:rPr>
        <w:t>precedere e non seguire la</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N/>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highlight w:val="yellow"/>
          <w:lang w:eastAsia="it-IT" w:bidi="ar-SA"/>
        </w:rPr>
        <w:t>denominazione.</w:t>
      </w:r>
    </w:p>
    <w:p w:rsidR="003E0DC6" w:rsidRPr="003E0DC6" w:rsidRDefault="003E0DC6" w:rsidP="003E0DC6">
      <w:pPr>
        <w:suppressAutoHyphens w:val="0"/>
        <w:autoSpaceDN/>
        <w:rPr>
          <w:rFonts w:ascii="Calibri" w:eastAsia="Times New Roman" w:hAnsi="Calibri" w:cs="Arial"/>
          <w:kern w:val="0"/>
          <w:sz w:val="20"/>
          <w:szCs w:val="22"/>
          <w:lang w:val="x-none" w:eastAsia="it-IT" w:bidi="ar-SA"/>
        </w:rPr>
      </w:pPr>
    </w:p>
    <w:p w:rsidR="003E0DC6" w:rsidRPr="003E0DC6" w:rsidRDefault="003E0DC6" w:rsidP="003E0DC6">
      <w:pPr>
        <w:suppressAutoHyphens w:val="0"/>
        <w:autoSpaceDN/>
        <w:rPr>
          <w:rFonts w:ascii="Calibri" w:eastAsia="Times New Roman" w:hAnsi="Calibri" w:cs="Arial"/>
          <w:kern w:val="0"/>
          <w:sz w:val="20"/>
          <w:szCs w:val="22"/>
          <w:lang w:val="x-none" w:eastAsia="it-IT" w:bidi="ar-SA"/>
        </w:rPr>
      </w:pPr>
    </w:p>
    <w:p w:rsidR="003E0DC6" w:rsidRPr="003E0DC6" w:rsidRDefault="003E0DC6" w:rsidP="003E0DC6">
      <w:pPr>
        <w:suppressAutoHyphens w:val="0"/>
        <w:autoSpaceDN/>
        <w:jc w:val="center"/>
        <w:rPr>
          <w:rFonts w:ascii="Calibri" w:eastAsia="Times New Roman" w:hAnsi="Calibri" w:cs="Arial"/>
          <w:b/>
          <w:kern w:val="0"/>
          <w:sz w:val="20"/>
          <w:szCs w:val="22"/>
          <w:lang w:val="x-none" w:eastAsia="it-IT" w:bidi="ar-SA"/>
        </w:rPr>
      </w:pPr>
      <w:r w:rsidRPr="003E0DC6">
        <w:rPr>
          <w:rFonts w:ascii="Calibri" w:eastAsia="Times New Roman" w:hAnsi="Calibri" w:cs="Arial"/>
          <w:b/>
          <w:kern w:val="0"/>
          <w:sz w:val="20"/>
          <w:szCs w:val="22"/>
          <w:lang w:val="x-none" w:eastAsia="it-IT" w:bidi="ar-SA"/>
        </w:rPr>
        <w:t>Art. 18 N.O.I.F.</w:t>
      </w:r>
    </w:p>
    <w:p w:rsidR="003E0DC6" w:rsidRPr="003E0DC6" w:rsidRDefault="003E0DC6" w:rsidP="003E0DC6">
      <w:pPr>
        <w:suppressAutoHyphens w:val="0"/>
        <w:autoSpaceDN/>
        <w:jc w:val="center"/>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Arial"/>
          <w:b/>
          <w:kern w:val="0"/>
          <w:sz w:val="20"/>
          <w:szCs w:val="22"/>
          <w:lang w:val="x-none" w:eastAsia="it-IT" w:bidi="ar-SA"/>
        </w:rPr>
      </w:pPr>
      <w:r w:rsidRPr="003E0DC6">
        <w:rPr>
          <w:rFonts w:ascii="Calibri" w:eastAsia="Times New Roman" w:hAnsi="Calibri" w:cs="Arial"/>
          <w:b/>
          <w:kern w:val="0"/>
          <w:sz w:val="20"/>
          <w:szCs w:val="22"/>
          <w:lang w:val="x-none" w:eastAsia="it-IT" w:bidi="ar-SA"/>
        </w:rPr>
        <w:t>Sede sociale</w:t>
      </w: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1. La sede sociale è quella indicata al momento della affiliazione.</w:t>
      </w: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 xml:space="preserve">2.II trasferimento della sede di una società in altro Comune </w:t>
      </w:r>
      <w:r w:rsidRPr="003E0DC6">
        <w:rPr>
          <w:rFonts w:ascii="Calibri" w:eastAsia="Times New Roman" w:hAnsi="Calibri" w:cs="Arial"/>
          <w:b/>
          <w:kern w:val="0"/>
          <w:sz w:val="20"/>
          <w:szCs w:val="22"/>
          <w:lang w:val="x-none" w:eastAsia="it-IT" w:bidi="ar-SA"/>
        </w:rPr>
        <w:t>è approvato dal Presidente Federale.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L'approvazione è condizione di efficacia del trasferimento di sede. La relativa delibera deve espressamente prevedere, quale condizione della sua efficacia, l'approvazione da parte del Presidente Federale.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3. La domanda di approvazione deve essere inoltrata al Presidente Federale con allegata la copia autentica del verbale della assemblea della società che ha deliberato il trasferimento di sede, lo statuto della società, nonché l'elenco nominativo dei componenti degli organi direttivi ed ogni altro atto che sia richiesto dagli organi federali.</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Le domande di approvazione dei trasferimenti di sede devono essere presentate, in ambito  professionistico, entro il 15 luglio di ogni anno, in ambito dilettantistico, entro il 5 luglio di ogni anno.</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4. II Presidente della F.I.G.C. delibera sulle domande, sentita la Lega competente.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5. Il trasferimento di sede è consentito alle seguenti condizioni:</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a) la società deve essere affiliata alla F.I.G.C. da almeno due stagioni sportive;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b) la società deve trasferirsi in Comune confinante, fatti salvi comprovati motivi di eccezionalità per società del settore professionistico;</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c) la società, nelle due stagioni sportive precedenti, non abbia trasferito la sede sociale in altro Comune e non sia stata oggetto di fusione, di scissione o di conferimento di azienda.</w:t>
      </w: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E0DC6" w:rsidRPr="003E0DC6" w:rsidTr="00A03697">
        <w:tc>
          <w:tcPr>
            <w:tcW w:w="9778" w:type="dxa"/>
          </w:tcPr>
          <w:p w:rsidR="003E0DC6" w:rsidRPr="003E0DC6" w:rsidRDefault="003E0DC6" w:rsidP="003E0DC6">
            <w:pPr>
              <w:suppressAutoHyphens w:val="0"/>
              <w:autoSpaceDE w:val="0"/>
              <w:adjustRightInd w:val="0"/>
              <w:jc w:val="center"/>
              <w:rPr>
                <w:rFonts w:ascii="Calibri" w:eastAsia="Times New Roman" w:hAnsi="Calibri" w:cs="Arial"/>
                <w:b/>
                <w:bCs/>
                <w:i/>
                <w:iCs/>
                <w:color w:val="000000"/>
                <w:kern w:val="0"/>
                <w:lang w:eastAsia="it-IT" w:bidi="ar-SA"/>
              </w:rPr>
            </w:pPr>
            <w:r w:rsidRPr="003E0DC6">
              <w:rPr>
                <w:rFonts w:ascii="Calibri" w:eastAsia="Times New Roman" w:hAnsi="Calibri" w:cs="Arial"/>
                <w:b/>
                <w:bCs/>
                <w:i/>
                <w:iCs/>
                <w:color w:val="000000"/>
                <w:kern w:val="0"/>
                <w:lang w:eastAsia="it-IT" w:bidi="ar-SA"/>
              </w:rPr>
              <w:t>VADEMECUM PER LA COMPILAZIONE DELLE DOMANDE PER CAMBIO DI DENOMINAZIONE E SEDE SOCIALE</w:t>
            </w:r>
          </w:p>
        </w:tc>
      </w:tr>
    </w:tbl>
    <w:p w:rsidR="003E0DC6" w:rsidRPr="003E0DC6" w:rsidRDefault="003E0DC6" w:rsidP="003E0DC6">
      <w:pPr>
        <w:suppressAutoHyphens w:val="0"/>
        <w:autoSpaceDE w:val="0"/>
        <w:adjustRightInd w:val="0"/>
        <w:rPr>
          <w:rFonts w:ascii="Calibri" w:eastAsia="Times New Roman" w:hAnsi="Calibri" w:cs="Arial"/>
          <w:bCs/>
          <w:iCs/>
          <w:color w:val="000000"/>
          <w:kern w:val="0"/>
          <w:sz w:val="20"/>
          <w:szCs w:val="20"/>
          <w:lang w:eastAsia="it-IT" w:bidi="ar-SA"/>
        </w:rPr>
      </w:pP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
          <w:b/>
          <w:bCs/>
          <w:i/>
          <w:iCs/>
          <w:color w:val="000000"/>
          <w:kern w:val="0"/>
          <w:lang w:eastAsia="it-IT" w:bidi="ar-SA"/>
        </w:rPr>
        <w:t xml:space="preserve">Compilare il relativo modulo </w:t>
      </w:r>
      <w:r w:rsidRPr="003E0DC6">
        <w:rPr>
          <w:rFonts w:ascii="Calibri" w:eastAsia="Times New Roman" w:hAnsi="Calibri" w:cs="ArialMT"/>
          <w:color w:val="000000"/>
          <w:kern w:val="0"/>
          <w:lang w:eastAsia="it-IT" w:bidi="ar-SA"/>
        </w:rPr>
        <w:t xml:space="preserve">da scaricare dal sito </w:t>
      </w:r>
      <w:hyperlink r:id="rId18" w:history="1">
        <w:r w:rsidRPr="003E0DC6">
          <w:rPr>
            <w:rFonts w:ascii="Calibri" w:eastAsia="Times New Roman" w:hAnsi="Calibri" w:cs="Times New Roman"/>
            <w:color w:val="0000FF"/>
            <w:kern w:val="0"/>
            <w:u w:val="single"/>
            <w:lang w:eastAsia="it-IT" w:bidi="ar-SA"/>
          </w:rPr>
          <w:t>abruzzo.lnd.it</w:t>
        </w:r>
      </w:hyperlink>
      <w:r w:rsidRPr="003E0DC6">
        <w:rPr>
          <w:rFonts w:ascii="Calibri" w:eastAsia="Times New Roman" w:hAnsi="Calibri" w:cs="Times New Roman"/>
          <w:color w:val="0000FF"/>
          <w:kern w:val="0"/>
          <w:lang w:eastAsia="it-IT" w:bidi="ar-SA"/>
        </w:rPr>
        <w:t xml:space="preserve"> link servizi </w:t>
      </w:r>
      <w:r w:rsidRPr="003E0DC6">
        <w:rPr>
          <w:rFonts w:ascii="Calibri" w:eastAsia="Times New Roman" w:hAnsi="Calibri" w:cs="ArialMT"/>
          <w:color w:val="000000"/>
          <w:kern w:val="0"/>
          <w:lang w:eastAsia="it-IT" w:bidi="ar-SA"/>
        </w:rPr>
        <w:t xml:space="preserve">– “Domande Fusioni / Cambi di Denominazione” </w:t>
      </w: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MT"/>
          <w:color w:val="000000"/>
          <w:kern w:val="0"/>
          <w:lang w:eastAsia="it-IT" w:bidi="ar-SA"/>
        </w:rPr>
        <w:t xml:space="preserve">- </w:t>
      </w:r>
      <w:r w:rsidRPr="003E0DC6">
        <w:rPr>
          <w:rFonts w:ascii="Calibri" w:eastAsia="Times New Roman" w:hAnsi="Calibri" w:cs="Arial"/>
          <w:b/>
          <w:bCs/>
          <w:color w:val="000000"/>
          <w:kern w:val="0"/>
          <w:lang w:eastAsia="it-IT" w:bidi="ar-SA"/>
        </w:rPr>
        <w:t>LA DOMANDA DI RICHIESTA DI CAMBIO DI DENOMINAZIONE E SEDE SOCIALE VA COMPILATA COMUNQUE IN ORIGINALE IN 3 COPIE.</w:t>
      </w: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3E0DC6">
        <w:rPr>
          <w:rFonts w:ascii="Calibri" w:eastAsia="Times New Roman" w:hAnsi="Calibri" w:cs="Arial"/>
          <w:i/>
          <w:iCs/>
          <w:color w:val="000000"/>
          <w:kern w:val="0"/>
          <w:lang w:eastAsia="it-IT" w:bidi="ar-SA"/>
        </w:rPr>
        <w:t xml:space="preserve">- </w:t>
      </w:r>
      <w:r w:rsidRPr="003E0DC6">
        <w:rPr>
          <w:rFonts w:ascii="Calibri" w:eastAsia="Times New Roman" w:hAnsi="Calibri" w:cs="Arial"/>
          <w:b/>
          <w:bCs/>
          <w:i/>
          <w:iCs/>
          <w:color w:val="FF0000"/>
          <w:kern w:val="0"/>
          <w:lang w:eastAsia="it-IT" w:bidi="ar-SA"/>
        </w:rPr>
        <w:t>allegare tutti i documenti richiesti nella domanda.</w:t>
      </w: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6"/>
          <w:szCs w:val="16"/>
          <w:lang w:eastAsia="it-IT" w:bidi="ar-SA"/>
        </w:rPr>
      </w:pP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IMPORTANTE:</w:t>
      </w: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La denominazione sociale dovrà essere comunque compatibile con quelle di altre Società.</w:t>
      </w: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 xml:space="preserve">L’esistenza di altra Società con identica o similare denominazione comporta, per la Società interessata l’inserimento di </w:t>
      </w:r>
      <w:r w:rsidRPr="003E0DC6">
        <w:rPr>
          <w:rFonts w:ascii="Calibri" w:eastAsia="Times New Roman" w:hAnsi="Calibri" w:cs="Arial"/>
          <w:b/>
          <w:bCs/>
          <w:color w:val="000000"/>
          <w:kern w:val="0"/>
          <w:highlight w:val="yellow"/>
          <w:lang w:eastAsia="it-IT" w:bidi="ar-SA"/>
        </w:rPr>
        <w:t xml:space="preserve">un’aggettivazione che deve </w:t>
      </w:r>
      <w:r w:rsidRPr="003E0DC6">
        <w:rPr>
          <w:rFonts w:ascii="Calibri" w:eastAsia="Times New Roman" w:hAnsi="Calibri" w:cs="Arial"/>
          <w:b/>
          <w:bCs/>
          <w:color w:val="000000"/>
          <w:kern w:val="0"/>
          <w:highlight w:val="yellow"/>
          <w:u w:val="single"/>
          <w:lang w:eastAsia="it-IT" w:bidi="ar-SA"/>
        </w:rPr>
        <w:t xml:space="preserve">sempre </w:t>
      </w:r>
      <w:r w:rsidRPr="003E0DC6">
        <w:rPr>
          <w:rFonts w:ascii="Calibri" w:eastAsia="Times New Roman" w:hAnsi="Calibri" w:cs="Arial"/>
          <w:b/>
          <w:bCs/>
          <w:color w:val="000000"/>
          <w:kern w:val="0"/>
          <w:highlight w:val="yellow"/>
          <w:lang w:eastAsia="it-IT" w:bidi="ar-SA"/>
        </w:rPr>
        <w:t>precedere e non seguire la denominazione.</w:t>
      </w:r>
    </w:p>
    <w:p w:rsidR="003E0DC6" w:rsidRDefault="003E0DC6" w:rsidP="003E0DC6">
      <w:pPr>
        <w:spacing w:after="240" w:line="276" w:lineRule="auto"/>
        <w:jc w:val="both"/>
        <w:rPr>
          <w:rFonts w:ascii="Calibri" w:hAnsi="Calibri" w:cs="Calibri"/>
          <w:sz w:val="22"/>
          <w:szCs w:val="22"/>
        </w:rPr>
      </w:pP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sz w:val="16"/>
          <w:szCs w:val="16"/>
          <w:lang w:eastAsia="it-IT" w:bidi="ar-SA"/>
        </w:rPr>
      </w:pPr>
    </w:p>
    <w:p w:rsidR="003E0DC6" w:rsidRPr="003E0DC6" w:rsidRDefault="003E0DC6" w:rsidP="003E0DC6">
      <w:pPr>
        <w:pBdr>
          <w:top w:val="single" w:sz="4" w:space="1" w:color="auto"/>
          <w:left w:val="single" w:sz="4" w:space="3" w:color="auto"/>
          <w:bottom w:val="single" w:sz="4" w:space="1" w:color="auto"/>
          <w:right w:val="single" w:sz="4" w:space="4" w:color="auto"/>
        </w:pBdr>
        <w:suppressAutoHyphens w:val="0"/>
        <w:autoSpaceDE w:val="0"/>
        <w:adjustRightInd w:val="0"/>
        <w:rPr>
          <w:rFonts w:ascii="Calibri" w:eastAsia="Times New Roman" w:hAnsi="Calibri" w:cs="ArialMT"/>
          <w:b/>
          <w:kern w:val="0"/>
          <w:lang w:eastAsia="it-IT" w:bidi="ar-SA"/>
        </w:rPr>
      </w:pPr>
      <w:r w:rsidRPr="003E0DC6">
        <w:rPr>
          <w:rFonts w:ascii="Calibri" w:eastAsia="Times New Roman" w:hAnsi="Calibri" w:cs="ArialMT"/>
          <w:b/>
          <w:kern w:val="0"/>
          <w:lang w:eastAsia="it-IT" w:bidi="ar-SA"/>
        </w:rPr>
        <w:t>IL TRASFERIMENTO DELLA SEDE E’ CONSENTITO ALLE CONDIZIONI DI CUI ALL’ART.18 COMMA 5 DELLE NOIF SOPRA INDICATO</w:t>
      </w: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Arial"/>
          <w:b/>
          <w:kern w:val="0"/>
          <w:sz w:val="20"/>
          <w:szCs w:val="22"/>
          <w:lang w:val="x-none" w:eastAsia="it-IT" w:bidi="ar-SA"/>
        </w:rPr>
      </w:pPr>
      <w:r w:rsidRPr="003E0DC6">
        <w:rPr>
          <w:rFonts w:ascii="Calibri" w:eastAsia="Times New Roman" w:hAnsi="Calibri" w:cs="Arial"/>
          <w:b/>
          <w:kern w:val="0"/>
          <w:lang w:val="x-none" w:eastAsia="it-IT" w:bidi="ar-SA"/>
        </w:rPr>
        <w:t>Art. 19 N.O.I.F.</w:t>
      </w:r>
    </w:p>
    <w:p w:rsidR="003E0DC6" w:rsidRPr="003E0DC6" w:rsidRDefault="003E0DC6" w:rsidP="003E0DC6">
      <w:pPr>
        <w:suppressAutoHyphens w:val="0"/>
        <w:autoSpaceDN/>
        <w:jc w:val="both"/>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Arial"/>
          <w:b/>
          <w:kern w:val="0"/>
          <w:sz w:val="20"/>
          <w:szCs w:val="22"/>
          <w:lang w:val="x-none" w:eastAsia="it-IT" w:bidi="ar-SA"/>
        </w:rPr>
      </w:pPr>
      <w:r w:rsidRPr="003E0DC6">
        <w:rPr>
          <w:rFonts w:ascii="Calibri" w:eastAsia="Times New Roman" w:hAnsi="Calibri" w:cs="Arial"/>
          <w:b/>
          <w:kern w:val="0"/>
          <w:sz w:val="20"/>
          <w:szCs w:val="22"/>
          <w:lang w:val="x-none" w:eastAsia="it-IT" w:bidi="ar-SA"/>
        </w:rPr>
        <w:t>Impianto sportivo</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 xml:space="preserve">1. Le società debbono svolgere la loro attività sportiva </w:t>
      </w:r>
      <w:r w:rsidRPr="003E0DC6">
        <w:rPr>
          <w:rFonts w:ascii="Calibri" w:eastAsia="Times New Roman" w:hAnsi="Calibri" w:cs="Arial"/>
          <w:b/>
          <w:kern w:val="0"/>
          <w:sz w:val="20"/>
          <w:szCs w:val="22"/>
          <w:lang w:val="x-none" w:eastAsia="it-IT" w:bidi="ar-SA"/>
        </w:rPr>
        <w:t>nell’impianto sportivo</w:t>
      </w:r>
      <w:r w:rsidRPr="003E0DC6">
        <w:rPr>
          <w:rFonts w:ascii="Calibri" w:eastAsia="Times New Roman" w:hAnsi="Calibri" w:cs="Arial"/>
          <w:kern w:val="0"/>
          <w:sz w:val="20"/>
          <w:szCs w:val="22"/>
          <w:lang w:val="x-none" w:eastAsia="it-IT" w:bidi="ar-SA"/>
        </w:rPr>
        <w:t xml:space="preserve"> dichiarato disponibile all'atto della iscrizione al Campionato. L’impianto sportivo, dotato dei requisiti richiesti, deve essere ubicato nel Comune in cui le società hanno la propria sede sociale.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lastRenderedPageBreak/>
        <w:t>2. In ambito professionistico, l’utilizzo di un impianto sportivo ubicato in un Comune diverso, è regolato dalle norme sulle Licenze Nazionali, emanate annualmente dal Consiglio Federale.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3. 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 xml:space="preserve">4. 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non ubicati nel Comune in cui hanno sede. La Divisione Calcio a Cinque può autorizzare, in caso di mancanza di struttura idonea, le società che hanno l’obbligatorietà di giocare su campi coperti a svolgere la propria attività in impianti sporivi di province limitrofe, dotati di campi coperti. </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5. In caso di mancato accoglimento dell’istanza di cui ai commi 3 e 4, le società possono chiedere il riesame della stessa:</w:t>
      </w:r>
    </w:p>
    <w:p w:rsidR="003E0DC6" w:rsidRPr="003E0DC6" w:rsidRDefault="003E0DC6" w:rsidP="003E0DC6">
      <w:pPr>
        <w:suppressAutoHyphens w:val="0"/>
        <w:autoSpaceDN/>
        <w:ind w:left="709"/>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 al Consiglio Federale se sono società del settore professionistico;</w:t>
      </w:r>
    </w:p>
    <w:p w:rsidR="003E0DC6" w:rsidRPr="003E0DC6" w:rsidRDefault="003E0DC6" w:rsidP="003E0DC6">
      <w:pPr>
        <w:suppressAutoHyphens w:val="0"/>
        <w:autoSpaceDN/>
        <w:ind w:left="851" w:hanging="142"/>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 al Consiglio Direttivo della Lega Nazionale Dilettanti se sono società del settore dilettantistico o di primo settore giovanile.</w:t>
      </w:r>
    </w:p>
    <w:p w:rsidR="003E0DC6" w:rsidRPr="003E0DC6" w:rsidRDefault="003E0DC6" w:rsidP="003E0DC6">
      <w:pPr>
        <w:suppressAutoHyphens w:val="0"/>
        <w:autoSpaceDN/>
        <w:jc w:val="both"/>
        <w:rPr>
          <w:rFonts w:ascii="Calibri" w:eastAsia="Times New Roman" w:hAnsi="Calibri" w:cs="Arial"/>
          <w:kern w:val="0"/>
          <w:sz w:val="20"/>
          <w:szCs w:val="22"/>
          <w:lang w:val="x-none" w:eastAsia="it-IT" w:bidi="ar-SA"/>
        </w:rPr>
      </w:pPr>
      <w:r w:rsidRPr="003E0DC6">
        <w:rPr>
          <w:rFonts w:ascii="Calibri" w:eastAsia="Times New Roman" w:hAnsi="Calibri" w:cs="Arial"/>
          <w:kern w:val="0"/>
          <w:sz w:val="20"/>
          <w:szCs w:val="22"/>
          <w:lang w:val="x-none" w:eastAsia="it-IT" w:bidi="ar-SA"/>
        </w:rPr>
        <w:t>6. Salvo deroga, per quanto di competenza della Federazione, delle Leghe, dei Comitati e delle Divisioni, non può essere considerato nella disponibilità di una società un impianto sportivo che sia già a disposizione di altra.</w:t>
      </w:r>
    </w:p>
    <w:p w:rsidR="003E0DC6" w:rsidRPr="003E0DC6" w:rsidRDefault="003E0DC6" w:rsidP="003E0DC6">
      <w:pPr>
        <w:suppressAutoHyphens w:val="0"/>
        <w:autoSpaceDN/>
        <w:jc w:val="center"/>
        <w:rPr>
          <w:rFonts w:ascii="Calibri" w:eastAsia="Times New Roman" w:hAnsi="Calibri" w:cs="Arial"/>
          <w:b/>
          <w:kern w:val="0"/>
          <w:sz w:val="20"/>
          <w:szCs w:val="22"/>
          <w:lang w:val="x-none" w:eastAsia="it-IT" w:bidi="ar-SA"/>
        </w:rPr>
      </w:pPr>
      <w:r w:rsidRPr="003E0DC6">
        <w:rPr>
          <w:rFonts w:ascii="Calibri" w:eastAsia="Times New Roman" w:hAnsi="Calibri" w:cs="Arial"/>
          <w:b/>
          <w:kern w:val="0"/>
          <w:sz w:val="20"/>
          <w:szCs w:val="22"/>
          <w:lang w:val="x-none" w:eastAsia="it-IT" w:bidi="ar-SA"/>
        </w:rPr>
        <w:t>Art. 20 N.O.I.F.</w:t>
      </w:r>
    </w:p>
    <w:p w:rsidR="003E0DC6" w:rsidRPr="003E0DC6" w:rsidRDefault="003E0DC6" w:rsidP="003E0DC6">
      <w:pPr>
        <w:suppressAutoHyphens w:val="0"/>
        <w:autoSpaceDN/>
        <w:jc w:val="center"/>
        <w:rPr>
          <w:rFonts w:ascii="Calibri" w:eastAsia="Times New Roman" w:hAnsi="Calibri" w:cs="Arial"/>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Arial"/>
          <w:b/>
          <w:snapToGrid w:val="0"/>
          <w:kern w:val="0"/>
          <w:sz w:val="20"/>
          <w:szCs w:val="22"/>
          <w:lang w:val="x-none" w:eastAsia="it-IT" w:bidi="ar-SA"/>
        </w:rPr>
      </w:pPr>
      <w:r w:rsidRPr="003E0DC6">
        <w:rPr>
          <w:rFonts w:ascii="Calibri" w:eastAsia="Times New Roman" w:hAnsi="Calibri" w:cs="Arial"/>
          <w:b/>
          <w:snapToGrid w:val="0"/>
          <w:kern w:val="0"/>
          <w:sz w:val="20"/>
          <w:szCs w:val="22"/>
          <w:lang w:val="x-none" w:eastAsia="it-IT" w:bidi="ar-SA"/>
        </w:rPr>
        <w:t>Fusioni – Scissioni – Conferimenti d’Azienda</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1. La fusione tra due o più società, la scissione di una società, il conferimento in conto capitale dell’azienda sportiva in una società interamente posseduta dalla società conferente, effettuate nel rispetto delle vigenti disposizioni normative e legislative, debbono essere approvate dal Presidente della F.I.G.C.. In caso di scissione di una società o di conferimento dell’azienda sportiva in altra società interamente posseduta dalla società conferente, l’approvazione può essere concessa, a condizione che sia preservata l’unitarietà dell’intera azienda sportiva e sia garantita la regolarità e il proseguimento dell’attività sportiva.</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2. L'approvazione è condizione di efficacia della fusione, della scissione o del conferimento d’azienda. Le delibere delle società inerenti la fusione, la scissione o il conferimento dell’azienda in conto capitale di una società controllata debbono espressamente prevedere, quale condizione della loro efficacia, l'approvazione da parte del Presidente Federale.</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 xml:space="preserve">3. Le domande di approvazione debbono essere inoltrate al Presidente Federale con allegate le copie autentiche dei verbali delle assemblee e di ogni altro organo delle società che hanno deliberato la fusione, la scissione o il conferimento dell’azienda sportiva, i progetti o gli atti di fusione, scissione o conferimento di azienda con le relazioni peritali, l'atto costitutivo e lo statuto </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 xml:space="preserve">della società che prosegue l’attività sportiva a seguito della fusione, della scissione o del conferimento dell’azienda sportiva, nonché l'elenco nominativo dei componenti degli organi direttivi </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ed ogni altro atto che sia richiesto dagli organi federali. Dette domande, in ambito dilettantistico o di Settore per l’attività giovanile e scolastica, debbono essere presentate entro il 5 luglio di ogni anno.</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Le domande di approvazione della fusione, in ambito professionistico, debbono essere presentate entro il 15 luglio di ogni anno.</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Le domande relative ad operazioni di scissione o conferimento d’azienda, in ambito professionistico, possono essere presentate anche oltre detto termine.</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4. II Presidente della F.I.G.C. delibera sulle domande dopo aver acquisito il parere delle Leghe competenti e, nel caso sia interessata alla operazione una società associata a Lega professionistica, anche i pareri vincolanti e conformi della CO.VI.SO.C. e di una commissione composta dai Vice Presidenti eletti, dai Presidenti delle tre Leghe e delle Associazioni delle Componenti Tecniche o da loro rappresentanti. La commissione così formata esprime il proprio parere a maggioranza qualificata, con il voto favorevole di almeno cinque componenti. La CO.VI.SO.C esprime il proprio parere, tenendo conto di ogni parametro e di ogni altro elemento idoneo a garantire la continuità e l’unitarietà dell’azienda sportiva.</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5. In caso di fusione approvata, rimane affiliata alla F.I.G.C. la società che sorge dalla fusione e ad essa sono attribuiti il titolo sportivo superiore tra quelli riconosciuti alle società che hanno dato luogo alla fusione e l'anzianità di affiliazione della società affiliatasi per prima.</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In caso di scissione approvata, è affiliata alla F.I.G.C. unicamente la società cui, in sede di scissione, risulta trasferita l’intera azienda sportiva. A detta società sono attribuiti il titolo sportivo e l'anzianità di affiliazione della società scissa.</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lastRenderedPageBreak/>
        <w:t>In caso di conferimento approvato in conto capitale dell’azienda sportiva da parte di una società affiliata in una società dalla stessa interamente posseduta, è affiliata alla F.I.G.C. unicamente la società cui risulta conferita l’intera azienda sportiva. A detta società sono attribuiti il titolo sportivo e l’anzianità di affiliazione della società conferente.</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6. In ambito dilettantistico ed al solo fine di consentire la separazione tra settori diversi dell’attività sportiva, quali il calcio maschile, il calcio femminile ed il calcio a cinque, è consentita la scissione mediante trasferimento dei singoli rami dell’azienda sportiva comprensivi del titolo sportivo, in più società di cui soltanto una conserva l’anzianità di affiliazione.</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r w:rsidRPr="003E0DC6">
        <w:rPr>
          <w:rFonts w:ascii="Calibri" w:eastAsia="Times New Roman" w:hAnsi="Calibri" w:cs="Arial"/>
          <w:snapToGrid w:val="0"/>
          <w:kern w:val="0"/>
          <w:sz w:val="20"/>
          <w:szCs w:val="22"/>
          <w:lang w:val="x-none" w:eastAsia="it-IT" w:bidi="ar-SA"/>
        </w:rPr>
        <w:t>7. La fusione, la scissione e il conferimento in conto capitale dell’azienda sportiva in una società posseduta dalla conferente, sono consentite alle seguenti condizioni:</w:t>
      </w:r>
    </w:p>
    <w:p w:rsidR="003E0DC6" w:rsidRPr="003E0DC6" w:rsidRDefault="003E0DC6" w:rsidP="003E0DC6">
      <w:pPr>
        <w:suppressAutoHyphens w:val="0"/>
        <w:autoSpaceDN/>
        <w:jc w:val="both"/>
        <w:rPr>
          <w:rFonts w:ascii="Calibri" w:eastAsia="Times New Roman" w:hAnsi="Calibri" w:cs="Times New Roman"/>
          <w:snapToGrid w:val="0"/>
          <w:kern w:val="0"/>
          <w:sz w:val="20"/>
          <w:szCs w:val="22"/>
          <w:lang w:val="x-none" w:eastAsia="it-IT" w:bidi="ar-SA"/>
        </w:rPr>
      </w:pPr>
      <w:r w:rsidRPr="003E0DC6">
        <w:rPr>
          <w:rFonts w:ascii="Calibri" w:eastAsia="Times New Roman" w:hAnsi="Calibri" w:cs="Arial"/>
          <w:b/>
          <w:snapToGrid w:val="0"/>
          <w:kern w:val="0"/>
          <w:sz w:val="20"/>
          <w:szCs w:val="22"/>
          <w:lang w:val="x-none" w:eastAsia="it-IT" w:bidi="ar-SA"/>
        </w:rPr>
        <w:t>a)</w:t>
      </w:r>
      <w:r w:rsidRPr="003E0DC6">
        <w:rPr>
          <w:rFonts w:ascii="Calibri" w:eastAsia="Times New Roman" w:hAnsi="Calibri" w:cs="Times New Roman"/>
          <w:snapToGrid w:val="0"/>
          <w:kern w:val="0"/>
          <w:sz w:val="20"/>
          <w:szCs w:val="22"/>
          <w:lang w:val="x-none" w:eastAsia="it-IT" w:bidi="ar-SA"/>
        </w:rPr>
        <w:t xml:space="preserve"> le società oggetto di fusione, la società oggetto di scissione ovvero la società conferente siano affiliate alla F.I.G.C. </w:t>
      </w:r>
      <w:r w:rsidRPr="003E0DC6">
        <w:rPr>
          <w:rFonts w:ascii="Calibri" w:eastAsia="Times New Roman" w:hAnsi="Calibri" w:cs="Times New Roman"/>
          <w:b/>
          <w:snapToGrid w:val="0"/>
          <w:kern w:val="0"/>
          <w:sz w:val="20"/>
          <w:szCs w:val="22"/>
          <w:u w:val="single"/>
          <w:lang w:val="x-none" w:eastAsia="it-IT" w:bidi="ar-SA"/>
        </w:rPr>
        <w:t>da almeno due stagioni sportive</w:t>
      </w:r>
      <w:r w:rsidRPr="003E0DC6">
        <w:rPr>
          <w:rFonts w:ascii="Calibri" w:eastAsia="Times New Roman" w:hAnsi="Calibri" w:cs="Times New Roman"/>
          <w:snapToGrid w:val="0"/>
          <w:kern w:val="0"/>
          <w:sz w:val="20"/>
          <w:szCs w:val="22"/>
          <w:lang w:val="x-none" w:eastAsia="it-IT" w:bidi="ar-SA"/>
        </w:rPr>
        <w:t>;</w:t>
      </w:r>
    </w:p>
    <w:p w:rsidR="003E0DC6" w:rsidRPr="003E0DC6" w:rsidRDefault="003E0DC6" w:rsidP="003E0DC6">
      <w:pPr>
        <w:suppressAutoHyphens w:val="0"/>
        <w:autoSpaceDN/>
        <w:jc w:val="both"/>
        <w:rPr>
          <w:rFonts w:ascii="Calibri" w:eastAsia="Times New Roman" w:hAnsi="Calibri" w:cs="Times New Roman"/>
          <w:snapToGrid w:val="0"/>
          <w:kern w:val="0"/>
          <w:sz w:val="20"/>
          <w:szCs w:val="22"/>
          <w:lang w:val="x-none" w:eastAsia="it-IT" w:bidi="ar-SA"/>
        </w:rPr>
      </w:pPr>
      <w:r w:rsidRPr="003E0DC6">
        <w:rPr>
          <w:rFonts w:ascii="Calibri" w:eastAsia="Times New Roman" w:hAnsi="Calibri" w:cs="Arial"/>
          <w:b/>
          <w:snapToGrid w:val="0"/>
          <w:kern w:val="0"/>
          <w:sz w:val="20"/>
          <w:szCs w:val="22"/>
          <w:lang w:val="x-none" w:eastAsia="it-IT" w:bidi="ar-SA"/>
        </w:rPr>
        <w:t>b)</w:t>
      </w:r>
      <w:r w:rsidRPr="003E0DC6">
        <w:rPr>
          <w:rFonts w:ascii="Calibri" w:eastAsia="Times New Roman" w:hAnsi="Calibri" w:cs="Times New Roman"/>
          <w:snapToGrid w:val="0"/>
          <w:kern w:val="0"/>
          <w:sz w:val="20"/>
          <w:szCs w:val="22"/>
          <w:lang w:val="x-none" w:eastAsia="it-IT" w:bidi="ar-SA"/>
        </w:rPr>
        <w:t xml:space="preserve"> in ambito professionistico tutte le società interessate alla fusione, ovvero alla scissione o al conferimento devono avere sede, salvo casi di assoluta eccezionalità, nello stesso Comune o in Comuni confinanti. </w:t>
      </w:r>
      <w:r w:rsidRPr="003E0DC6">
        <w:rPr>
          <w:rFonts w:ascii="Calibri" w:eastAsia="Times New Roman" w:hAnsi="Calibri" w:cs="Times New Roman"/>
          <w:b/>
          <w:snapToGrid w:val="0"/>
          <w:kern w:val="0"/>
          <w:sz w:val="20"/>
          <w:szCs w:val="22"/>
          <w:lang w:val="x-none" w:eastAsia="it-IT" w:bidi="ar-SA"/>
        </w:rPr>
        <w:t>In ambito dilettantistico e di settore per l’attività giovanile e scolastica le società interessate alla fusione, ovvero alla scissione o al conferimento devono avere sede nella stessa Provincia, ovvero in Comuni confinanti di Province e/o Regioni diverse. Nell’ipotesi in cui le suddette operazioni siano effettuate tra società del settore professionistico e società del settore dilettantistico – giovanile e scolastico, vige il criterio stabilito in ambito professionistico</w:t>
      </w:r>
      <w:r w:rsidRPr="003E0DC6">
        <w:rPr>
          <w:rFonts w:ascii="Calibri" w:eastAsia="Times New Roman" w:hAnsi="Calibri" w:cs="Times New Roman"/>
          <w:snapToGrid w:val="0"/>
          <w:kern w:val="0"/>
          <w:sz w:val="20"/>
          <w:szCs w:val="22"/>
          <w:lang w:val="x-none" w:eastAsia="it-IT" w:bidi="ar-SA"/>
        </w:rPr>
        <w:t>;</w:t>
      </w:r>
    </w:p>
    <w:p w:rsidR="003E0DC6" w:rsidRPr="003E0DC6" w:rsidRDefault="003E0DC6" w:rsidP="003E0DC6">
      <w:pPr>
        <w:suppressAutoHyphens w:val="0"/>
        <w:autoSpaceDN/>
        <w:jc w:val="both"/>
        <w:rPr>
          <w:rFonts w:ascii="Calibri" w:eastAsia="Times New Roman" w:hAnsi="Calibri" w:cs="Times New Roman"/>
          <w:b/>
          <w:snapToGrid w:val="0"/>
          <w:kern w:val="0"/>
          <w:sz w:val="20"/>
          <w:szCs w:val="22"/>
          <w:lang w:val="x-none" w:eastAsia="it-IT" w:bidi="ar-SA"/>
        </w:rPr>
      </w:pPr>
      <w:r w:rsidRPr="003E0DC6">
        <w:rPr>
          <w:rFonts w:ascii="Calibri" w:eastAsia="Times New Roman" w:hAnsi="Calibri" w:cs="Arial"/>
          <w:b/>
          <w:snapToGrid w:val="0"/>
          <w:kern w:val="0"/>
          <w:sz w:val="20"/>
          <w:szCs w:val="22"/>
          <w:lang w:val="x-none" w:eastAsia="it-IT" w:bidi="ar-SA"/>
        </w:rPr>
        <w:t>c)</w:t>
      </w:r>
      <w:r w:rsidRPr="003E0DC6">
        <w:rPr>
          <w:rFonts w:ascii="Calibri" w:eastAsia="Times New Roman" w:hAnsi="Calibri" w:cs="Times New Roman"/>
          <w:snapToGrid w:val="0"/>
          <w:kern w:val="0"/>
          <w:sz w:val="20"/>
          <w:szCs w:val="22"/>
          <w:lang w:val="x-none" w:eastAsia="it-IT" w:bidi="ar-SA"/>
        </w:rPr>
        <w:t xml:space="preserve"> </w:t>
      </w:r>
      <w:r w:rsidRPr="003E0DC6">
        <w:rPr>
          <w:rFonts w:ascii="Calibri" w:eastAsia="Times New Roman" w:hAnsi="Calibri" w:cs="Times New Roman"/>
          <w:b/>
          <w:snapToGrid w:val="0"/>
          <w:kern w:val="0"/>
          <w:sz w:val="20"/>
          <w:szCs w:val="22"/>
          <w:lang w:val="x-none" w:eastAsia="it-IT" w:bidi="ar-SA"/>
        </w:rPr>
        <w:t xml:space="preserve">tra Società che, </w:t>
      </w:r>
      <w:r w:rsidRPr="003E0DC6">
        <w:rPr>
          <w:rFonts w:ascii="Calibri" w:eastAsia="Times New Roman" w:hAnsi="Calibri" w:cs="Times New Roman"/>
          <w:b/>
          <w:snapToGrid w:val="0"/>
          <w:kern w:val="0"/>
          <w:sz w:val="20"/>
          <w:szCs w:val="22"/>
          <w:u w:val="single"/>
          <w:lang w:val="x-none" w:eastAsia="it-IT" w:bidi="ar-SA"/>
        </w:rPr>
        <w:t>nelle due stagioni sportive precedenti</w:t>
      </w:r>
      <w:r w:rsidRPr="003E0DC6">
        <w:rPr>
          <w:rFonts w:ascii="Calibri" w:eastAsia="Times New Roman" w:hAnsi="Calibri" w:cs="Times New Roman"/>
          <w:b/>
          <w:snapToGrid w:val="0"/>
          <w:kern w:val="0"/>
          <w:sz w:val="20"/>
          <w:szCs w:val="22"/>
          <w:lang w:val="x-none" w:eastAsia="it-IT" w:bidi="ar-SA"/>
        </w:rPr>
        <w:t>, non abbiano trasferito la sede sociale in altro Comune, non siano state oggetto di fusioni, di scissioni o di conferimenti di azienda.</w:t>
      </w:r>
    </w:p>
    <w:p w:rsidR="003E0DC6" w:rsidRPr="003E0DC6" w:rsidRDefault="003E0DC6" w:rsidP="003E0DC6">
      <w:pPr>
        <w:suppressAutoHyphens w:val="0"/>
        <w:autoSpaceDN/>
        <w:jc w:val="both"/>
        <w:rPr>
          <w:rFonts w:ascii="Calibri" w:eastAsia="Times New Roman" w:hAnsi="Calibri" w:cs="Arial"/>
          <w:snapToGrid w:val="0"/>
          <w:kern w:val="0"/>
          <w:sz w:val="18"/>
          <w:szCs w:val="18"/>
          <w:lang w:val="x-none"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E0DC6" w:rsidRPr="003E0DC6" w:rsidTr="00A03697">
        <w:trPr>
          <w:jc w:val="center"/>
        </w:trPr>
        <w:tc>
          <w:tcPr>
            <w:tcW w:w="9778" w:type="dxa"/>
          </w:tcPr>
          <w:p w:rsidR="003E0DC6" w:rsidRPr="003E0DC6" w:rsidRDefault="003E0DC6" w:rsidP="003E0DC6">
            <w:pPr>
              <w:suppressAutoHyphens w:val="0"/>
              <w:autoSpaceDE w:val="0"/>
              <w:adjustRightInd w:val="0"/>
              <w:jc w:val="center"/>
              <w:rPr>
                <w:rFonts w:ascii="Calibri" w:eastAsia="Times New Roman" w:hAnsi="Calibri" w:cs="Arial"/>
                <w:b/>
                <w:bCs/>
                <w:i/>
                <w:iCs/>
                <w:color w:val="000000"/>
                <w:kern w:val="0"/>
                <w:lang w:eastAsia="it-IT" w:bidi="ar-SA"/>
              </w:rPr>
            </w:pPr>
            <w:r w:rsidRPr="003E0DC6">
              <w:rPr>
                <w:rFonts w:ascii="Calibri" w:eastAsia="Times New Roman" w:hAnsi="Calibri" w:cs="Arial"/>
                <w:b/>
                <w:bCs/>
                <w:i/>
                <w:iCs/>
                <w:color w:val="000000"/>
                <w:kern w:val="0"/>
                <w:lang w:eastAsia="it-IT" w:bidi="ar-SA"/>
              </w:rPr>
              <w:t>VADEMECUM PER LA COMPILAZIONE DELLE DOMANDE DI FUSIONE</w:t>
            </w:r>
          </w:p>
        </w:tc>
      </w:tr>
    </w:tbl>
    <w:p w:rsidR="003E0DC6" w:rsidRPr="003E0DC6" w:rsidRDefault="003E0DC6" w:rsidP="003E0DC6">
      <w:pPr>
        <w:suppressAutoHyphens w:val="0"/>
        <w:autoSpaceDE w:val="0"/>
        <w:adjustRightInd w:val="0"/>
        <w:rPr>
          <w:rFonts w:ascii="Calibri" w:eastAsia="Times New Roman" w:hAnsi="Calibri" w:cs="Arial"/>
          <w:bCs/>
          <w:iCs/>
          <w:color w:val="000000"/>
          <w:kern w:val="0"/>
          <w:sz w:val="14"/>
          <w:szCs w:val="14"/>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
          <w:b/>
          <w:bCs/>
          <w:i/>
          <w:iCs/>
          <w:color w:val="000000"/>
          <w:kern w:val="0"/>
          <w:lang w:eastAsia="it-IT" w:bidi="ar-SA"/>
        </w:rPr>
        <w:t xml:space="preserve">Compilare il relativo modulo </w:t>
      </w:r>
      <w:r w:rsidRPr="003E0DC6">
        <w:rPr>
          <w:rFonts w:ascii="Calibri" w:eastAsia="Times New Roman" w:hAnsi="Calibri" w:cs="ArialMT"/>
          <w:color w:val="000000"/>
          <w:kern w:val="0"/>
          <w:lang w:eastAsia="it-IT" w:bidi="ar-SA"/>
        </w:rPr>
        <w:t xml:space="preserve">da scaricare dal sito </w:t>
      </w:r>
      <w:hyperlink r:id="rId19" w:history="1">
        <w:r w:rsidRPr="003E0DC6">
          <w:rPr>
            <w:rFonts w:ascii="Calibri" w:eastAsia="Times New Roman" w:hAnsi="Calibri" w:cs="Times New Roman"/>
            <w:color w:val="0000FF"/>
            <w:kern w:val="0"/>
            <w:u w:val="single"/>
            <w:lang w:eastAsia="it-IT" w:bidi="ar-SA"/>
          </w:rPr>
          <w:t>abruzzo.lnd.it</w:t>
        </w:r>
      </w:hyperlink>
      <w:r w:rsidRPr="003E0DC6">
        <w:rPr>
          <w:rFonts w:ascii="Calibri" w:eastAsia="Times New Roman" w:hAnsi="Calibri" w:cs="Times New Roman"/>
          <w:color w:val="0000FF"/>
          <w:kern w:val="0"/>
          <w:lang w:eastAsia="it-IT" w:bidi="ar-SA"/>
        </w:rPr>
        <w:t xml:space="preserve"> link servizi </w:t>
      </w:r>
      <w:r w:rsidRPr="003E0DC6">
        <w:rPr>
          <w:rFonts w:ascii="Calibri" w:eastAsia="Times New Roman" w:hAnsi="Calibri" w:cs="ArialMT"/>
          <w:color w:val="000000"/>
          <w:kern w:val="0"/>
          <w:lang w:eastAsia="it-IT" w:bidi="ar-SA"/>
        </w:rPr>
        <w:t xml:space="preserve">– “Domande Fusioni / Cambi di Denominazione” </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MT"/>
          <w:color w:val="000000"/>
          <w:kern w:val="0"/>
          <w:lang w:eastAsia="it-IT" w:bidi="ar-SA"/>
        </w:rPr>
        <w:t xml:space="preserve">- </w:t>
      </w:r>
      <w:r w:rsidRPr="003E0DC6">
        <w:rPr>
          <w:rFonts w:ascii="Calibri" w:eastAsia="Times New Roman" w:hAnsi="Calibri" w:cs="Arial"/>
          <w:b/>
          <w:bCs/>
          <w:color w:val="000000"/>
          <w:kern w:val="0"/>
          <w:lang w:eastAsia="it-IT" w:bidi="ar-SA"/>
        </w:rPr>
        <w:t>LA DOMANDA DI FUSIONE VA COMPILATA COMUNQUE IN ORIGINALE IN 3 COPIE.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3E0DC6">
        <w:rPr>
          <w:rFonts w:ascii="Calibri" w:eastAsia="Times New Roman" w:hAnsi="Calibri" w:cs="Arial"/>
          <w:i/>
          <w:iCs/>
          <w:color w:val="000000"/>
          <w:kern w:val="0"/>
          <w:lang w:eastAsia="it-IT" w:bidi="ar-SA"/>
        </w:rPr>
        <w:t xml:space="preserve">- </w:t>
      </w:r>
      <w:r w:rsidRPr="003E0DC6">
        <w:rPr>
          <w:rFonts w:ascii="Calibri" w:eastAsia="Times New Roman" w:hAnsi="Calibri" w:cs="Arial"/>
          <w:b/>
          <w:bCs/>
          <w:i/>
          <w:iCs/>
          <w:color w:val="FF0000"/>
          <w:kern w:val="0"/>
          <w:lang w:eastAsia="it-IT" w:bidi="ar-SA"/>
        </w:rPr>
        <w:t>allegare tutti i documenti richiesti nella domanda</w:t>
      </w:r>
      <w:r w:rsidRPr="003E0DC6">
        <w:rPr>
          <w:rFonts w:ascii="Calibri" w:eastAsia="Times New Roman" w:hAnsi="Calibri" w:cs="Arial"/>
          <w:b/>
          <w:bCs/>
          <w:i/>
          <w:iCs/>
          <w:color w:val="000000"/>
          <w:kern w:val="0"/>
          <w:lang w:eastAsia="it-IT" w:bidi="ar-SA"/>
        </w:rPr>
        <w:t>.</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4"/>
          <w:szCs w:val="14"/>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3E0DC6">
        <w:rPr>
          <w:rFonts w:ascii="Calibri" w:eastAsia="Times New Roman" w:hAnsi="Calibri" w:cs="Arial"/>
          <w:b/>
          <w:bCs/>
          <w:i/>
          <w:iCs/>
          <w:color w:val="000000"/>
          <w:kern w:val="0"/>
          <w:lang w:eastAsia="it-IT" w:bidi="ar-SA"/>
        </w:rPr>
        <w:t>Allegare alla stessa IN ORIGINALE :</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 xml:space="preserve">- verbali </w:t>
      </w:r>
      <w:r w:rsidRPr="003E0DC6">
        <w:rPr>
          <w:rFonts w:ascii="Calibri" w:eastAsia="Times New Roman" w:hAnsi="Calibri" w:cs="Arial"/>
          <w:b/>
          <w:bCs/>
          <w:color w:val="000000"/>
          <w:kern w:val="0"/>
          <w:lang w:eastAsia="it-IT" w:bidi="ar-SA"/>
        </w:rPr>
        <w:t xml:space="preserve">DISGIUNTI </w:t>
      </w:r>
      <w:r w:rsidRPr="003E0DC6">
        <w:rPr>
          <w:rFonts w:ascii="Calibri" w:eastAsia="Times New Roman" w:hAnsi="Calibri" w:cs="ArialMT"/>
          <w:color w:val="000000"/>
          <w:kern w:val="0"/>
          <w:lang w:eastAsia="it-IT" w:bidi="ar-SA"/>
        </w:rPr>
        <w:t>dell’Assemblea generale dei Soci delle società che hanno deliberato la fusione;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deve essere firmato dal Presidente e dal Segretario dell’Assemblea</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 xml:space="preserve">- verbale </w:t>
      </w:r>
      <w:r w:rsidRPr="003E0DC6">
        <w:rPr>
          <w:rFonts w:ascii="Calibri" w:eastAsia="Times New Roman" w:hAnsi="Calibri" w:cs="Arial"/>
          <w:b/>
          <w:bCs/>
          <w:color w:val="000000"/>
          <w:kern w:val="0"/>
          <w:lang w:eastAsia="it-IT" w:bidi="ar-SA"/>
        </w:rPr>
        <w:t xml:space="preserve">CONGIUNTO </w:t>
      </w:r>
      <w:r w:rsidRPr="003E0DC6">
        <w:rPr>
          <w:rFonts w:ascii="Calibri" w:eastAsia="Times New Roman" w:hAnsi="Calibri" w:cs="ArialMT"/>
          <w:color w:val="000000"/>
          <w:kern w:val="0"/>
          <w:lang w:eastAsia="it-IT" w:bidi="ar-SA"/>
        </w:rPr>
        <w:t>dell’Assemblea generale dei Soci delle società che richiedono la fusione;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deve essere firmato dal Presidente e dal Segretario dell’Assemblea</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color w:val="000000"/>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 xml:space="preserve">- </w:t>
      </w:r>
      <w:r w:rsidRPr="003E0DC6">
        <w:rPr>
          <w:rFonts w:ascii="Calibri" w:eastAsia="Times New Roman" w:hAnsi="Calibri" w:cs="Arial"/>
          <w:b/>
          <w:bCs/>
          <w:color w:val="000000"/>
          <w:kern w:val="0"/>
          <w:lang w:eastAsia="it-IT" w:bidi="ar-SA"/>
        </w:rPr>
        <w:t xml:space="preserve">NUOVO </w:t>
      </w:r>
      <w:r w:rsidRPr="003E0DC6">
        <w:rPr>
          <w:rFonts w:ascii="Calibri" w:eastAsia="Times New Roman" w:hAnsi="Calibri" w:cs="ArialMT"/>
          <w:color w:val="000000"/>
          <w:kern w:val="0"/>
          <w:lang w:eastAsia="it-IT" w:bidi="ar-SA"/>
        </w:rPr>
        <w:t xml:space="preserve">Atto costitutivo e </w:t>
      </w:r>
      <w:r w:rsidRPr="003E0DC6">
        <w:rPr>
          <w:rFonts w:ascii="Calibri" w:eastAsia="Times New Roman" w:hAnsi="Calibri" w:cs="Arial"/>
          <w:b/>
          <w:bCs/>
          <w:color w:val="000000"/>
          <w:kern w:val="0"/>
          <w:lang w:eastAsia="it-IT" w:bidi="ar-SA"/>
        </w:rPr>
        <w:t xml:space="preserve">NUOVO </w:t>
      </w:r>
      <w:r w:rsidRPr="003E0DC6">
        <w:rPr>
          <w:rFonts w:ascii="Calibri" w:eastAsia="Times New Roman" w:hAnsi="Calibri" w:cs="ArialMT"/>
          <w:color w:val="000000"/>
          <w:kern w:val="0"/>
          <w:lang w:eastAsia="it-IT" w:bidi="ar-SA"/>
        </w:rPr>
        <w:t>Statuto della società sorgente dalla fusione sottoscritto dai soci;</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3E0DC6">
        <w:rPr>
          <w:rFonts w:ascii="Calibri" w:eastAsia="Times New Roman" w:hAnsi="Calibri" w:cs="ArialMT"/>
          <w:color w:val="000000"/>
          <w:kern w:val="0"/>
          <w:lang w:eastAsia="it-IT" w:bidi="ar-SA"/>
        </w:rPr>
        <w:t>- elenco nominativo dei componenti gli organi direttivi (in carica per la Stagione Sportiva 2018/2019) della nuova società nascente, sottoscritto dagli stessi.</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IMPORTANTE:</w:t>
      </w:r>
    </w:p>
    <w:p w:rsidR="003E0DC6" w:rsidRDefault="003E0DC6" w:rsidP="003E0DC6">
      <w:pPr>
        <w:spacing w:after="240" w:line="276" w:lineRule="auto"/>
        <w:jc w:val="both"/>
        <w:rPr>
          <w:rFonts w:ascii="Calibri" w:hAnsi="Calibri" w:cs="Calibri"/>
          <w:sz w:val="22"/>
          <w:szCs w:val="22"/>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La denominazione sociale dovrà essere comunque compatibile con quelle di altre Società.</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3E0DC6">
        <w:rPr>
          <w:rFonts w:ascii="Calibri" w:eastAsia="Times New Roman" w:hAnsi="Calibri" w:cs="Arial"/>
          <w:b/>
          <w:bCs/>
          <w:color w:val="000000"/>
          <w:kern w:val="0"/>
          <w:lang w:eastAsia="it-IT" w:bidi="ar-SA"/>
        </w:rPr>
        <w:t xml:space="preserve">L’esistenza di altra Società con identica o similare denominazione comporta, per la Società interessata l’inserimento di </w:t>
      </w:r>
      <w:r w:rsidRPr="003E0DC6">
        <w:rPr>
          <w:rFonts w:ascii="Calibri" w:eastAsia="Times New Roman" w:hAnsi="Calibri" w:cs="Arial"/>
          <w:b/>
          <w:bCs/>
          <w:color w:val="000000"/>
          <w:kern w:val="0"/>
          <w:highlight w:val="yellow"/>
          <w:lang w:eastAsia="it-IT" w:bidi="ar-SA"/>
        </w:rPr>
        <w:t>un’aggettivazione che deve sempre precedere e non seguire la denominazione.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3E0DC6">
        <w:rPr>
          <w:rFonts w:ascii="Calibri" w:eastAsia="Times New Roman" w:hAnsi="Calibri" w:cs="ArialMT"/>
          <w:b/>
          <w:kern w:val="0"/>
          <w:sz w:val="20"/>
          <w:szCs w:val="20"/>
          <w:lang w:eastAsia="it-IT" w:bidi="ar-SA"/>
        </w:rPr>
        <w:t>LA FUSIONE E’ CONSENTITA ALLE CONDIZIONI DI CUI ALL’ART. 20 comma 7 delle NOIF SOPRA INDICATO</w:t>
      </w:r>
    </w:p>
    <w:p w:rsidR="003E0DC6" w:rsidRDefault="003E0DC6" w:rsidP="003E0DC6">
      <w:pPr>
        <w:suppressAutoHyphens w:val="0"/>
        <w:autoSpaceDE w:val="0"/>
        <w:adjustRightInd w:val="0"/>
        <w:jc w:val="both"/>
        <w:rPr>
          <w:rFonts w:ascii="Calibri" w:eastAsia="Times New Roman" w:hAnsi="Calibri" w:cs="Arial"/>
          <w:bCs/>
          <w:color w:val="000000"/>
          <w:kern w:val="0"/>
          <w:lang w:eastAsia="it-IT" w:bidi="ar-SA"/>
        </w:rPr>
      </w:pPr>
    </w:p>
    <w:p w:rsidR="00EA2E42" w:rsidRDefault="00EA2E42" w:rsidP="003E0DC6">
      <w:pPr>
        <w:suppressAutoHyphens w:val="0"/>
        <w:autoSpaceDE w:val="0"/>
        <w:adjustRightInd w:val="0"/>
        <w:jc w:val="both"/>
        <w:rPr>
          <w:rFonts w:ascii="Calibri" w:eastAsia="Times New Roman" w:hAnsi="Calibri" w:cs="Arial"/>
          <w:bCs/>
          <w:color w:val="000000"/>
          <w:kern w:val="0"/>
          <w:lang w:eastAsia="it-IT" w:bidi="ar-SA"/>
        </w:rPr>
      </w:pPr>
    </w:p>
    <w:p w:rsidR="00EA2E42" w:rsidRPr="003E0DC6" w:rsidRDefault="00EA2E42" w:rsidP="003E0DC6">
      <w:pPr>
        <w:suppressAutoHyphens w:val="0"/>
        <w:autoSpaceDE w:val="0"/>
        <w:adjustRightInd w:val="0"/>
        <w:jc w:val="both"/>
        <w:rPr>
          <w:rFonts w:ascii="Calibri" w:eastAsia="Times New Roman" w:hAnsi="Calibri" w:cs="Arial"/>
          <w:bCs/>
          <w:color w:val="000000"/>
          <w:kern w:val="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E0DC6" w:rsidRPr="003E0DC6" w:rsidTr="00A03697">
        <w:tc>
          <w:tcPr>
            <w:tcW w:w="9778" w:type="dxa"/>
          </w:tcPr>
          <w:p w:rsidR="003E0DC6" w:rsidRPr="003E0DC6" w:rsidRDefault="003E0DC6" w:rsidP="003E0DC6">
            <w:pPr>
              <w:suppressAutoHyphens w:val="0"/>
              <w:autoSpaceDE w:val="0"/>
              <w:adjustRightInd w:val="0"/>
              <w:jc w:val="center"/>
              <w:rPr>
                <w:rFonts w:ascii="Calibri" w:eastAsia="Times New Roman" w:hAnsi="Calibri" w:cs="Arial"/>
                <w:b/>
                <w:bCs/>
                <w:i/>
                <w:iCs/>
                <w:color w:val="000000"/>
                <w:kern w:val="0"/>
                <w:lang w:eastAsia="it-IT" w:bidi="ar-SA"/>
              </w:rPr>
            </w:pPr>
            <w:r w:rsidRPr="003E0DC6">
              <w:rPr>
                <w:rFonts w:ascii="Calibri" w:eastAsia="Times New Roman" w:hAnsi="Calibri" w:cs="Arial"/>
                <w:b/>
                <w:bCs/>
                <w:i/>
                <w:iCs/>
                <w:color w:val="000000"/>
                <w:kern w:val="0"/>
                <w:lang w:eastAsia="it-IT" w:bidi="ar-SA"/>
              </w:rPr>
              <w:lastRenderedPageBreak/>
              <w:t>VADEMECUM PER LA COMPILAZIONE DELLE DOMANDE DI SCISSIONE</w:t>
            </w:r>
          </w:p>
        </w:tc>
      </w:tr>
    </w:tbl>
    <w:p w:rsidR="003E0DC6" w:rsidRPr="003E0DC6" w:rsidRDefault="003E0DC6" w:rsidP="003E0DC6">
      <w:pPr>
        <w:suppressAutoHyphens w:val="0"/>
        <w:autoSpaceDE w:val="0"/>
        <w:adjustRightInd w:val="0"/>
        <w:jc w:val="both"/>
        <w:rPr>
          <w:rFonts w:ascii="Calibri" w:eastAsia="Times New Roman" w:hAnsi="Calibri" w:cs="Arial"/>
          <w:bCs/>
          <w:color w:val="000000"/>
          <w:kern w:val="0"/>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E’ possibile la separazione solo tra calcio maschile, calcio femminile e calcio a 5.</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Le domande di scissione dovranno essere inviate esclusivamente al COMITATO REGIONALE ABRUZZO con i seguenti allegati:</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 copia autentica del verbale dell’Assemblea generale dei Soci che ha deliberato la scissione; deve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essere firmato dal Presidente e dal Segretario dell’Assemblea</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kern w:val="0"/>
          <w:lang w:eastAsia="it-IT" w:bidi="ar-SA"/>
        </w:rPr>
      </w:pPr>
      <w:r w:rsidRPr="003E0DC6">
        <w:rPr>
          <w:rFonts w:ascii="Calibri" w:eastAsia="Times New Roman" w:hAnsi="Calibri" w:cs="ArialMT"/>
          <w:kern w:val="0"/>
          <w:lang w:eastAsia="it-IT" w:bidi="ar-SA"/>
        </w:rPr>
        <w:t xml:space="preserve">- domanda di affiliazione per ogni altra società sorta dalla scissione corredata da tutta la documentazione di rito (Atto costitutivo, Statuto sociale, disponibilità di campo sportivo, dichiarazione di appartenenza o meno al Settore Giovanile, tassa di affiliazione) </w:t>
      </w:r>
      <w:r w:rsidRPr="003E0DC6">
        <w:rPr>
          <w:rFonts w:ascii="Calibri" w:eastAsia="Times New Roman" w:hAnsi="Calibri" w:cs="Arial"/>
          <w:b/>
          <w:bCs/>
          <w:kern w:val="0"/>
          <w:lang w:eastAsia="it-IT" w:bidi="ar-SA"/>
        </w:rPr>
        <w:t>da far pervenire ENTRO IL TERMINE PERENTORIO DEL 25.06.2019.</w:t>
      </w:r>
    </w:p>
    <w:p w:rsidR="003E0DC6" w:rsidRDefault="003E0DC6" w:rsidP="003E0DC6">
      <w:pPr>
        <w:spacing w:after="240" w:line="276" w:lineRule="auto"/>
        <w:jc w:val="both"/>
        <w:rPr>
          <w:rFonts w:ascii="Calibri" w:hAnsi="Calibri" w:cs="Calibri"/>
          <w:sz w:val="22"/>
          <w:szCs w:val="22"/>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 in caso di scissione di calcio a undici e calcio a cinque e calcio a 11 femminile, elenco nominativo debitamente sottoscritto dei calciatori attribuiti alle società oggetto di scissione.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In particolare, si richiama l’attenzione:</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3E0DC6">
        <w:rPr>
          <w:rFonts w:ascii="Calibri" w:eastAsia="Times New Roman" w:hAnsi="Calibri" w:cs="ArialMT"/>
          <w:kern w:val="0"/>
          <w:lang w:eastAsia="it-IT" w:bidi="ar-SA"/>
        </w:rPr>
        <w:t>- la delibera della Società inerente la scissione deve espressamente prevedere, quale condizione della sua efficacia, l’approvazione della F.I.G.C.</w:t>
      </w: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sz w:val="16"/>
          <w:szCs w:val="16"/>
          <w:lang w:eastAsia="it-IT" w:bidi="ar-SA"/>
        </w:rPr>
      </w:pPr>
    </w:p>
    <w:p w:rsidR="003E0DC6" w:rsidRPr="003E0DC6" w:rsidRDefault="003E0DC6" w:rsidP="003E0DC6">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3E0DC6">
        <w:rPr>
          <w:rFonts w:ascii="Calibri" w:eastAsia="Times New Roman" w:hAnsi="Calibri" w:cs="ArialMT"/>
          <w:b/>
          <w:kern w:val="0"/>
          <w:sz w:val="20"/>
          <w:szCs w:val="20"/>
          <w:lang w:eastAsia="it-IT" w:bidi="ar-SA"/>
        </w:rPr>
        <w:t>LE SCISSIONI SONO CONSENTITE ALLE CONDIZIONI DI CUI ALL’ART. 20 COMMA 7 DELLE N.O.I.F. SOPRA INDICATO.</w:t>
      </w:r>
    </w:p>
    <w:p w:rsidR="003E0DC6" w:rsidRPr="003E0DC6" w:rsidRDefault="003E0DC6" w:rsidP="003E0DC6">
      <w:pPr>
        <w:suppressAutoHyphens w:val="0"/>
        <w:autoSpaceDN/>
        <w:jc w:val="both"/>
        <w:rPr>
          <w:rFonts w:ascii="Calibri" w:eastAsia="Times New Roman" w:hAnsi="Calibri" w:cs="Arial"/>
          <w:snapToGrid w:val="0"/>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Arial"/>
          <w:b/>
          <w:i/>
          <w:kern w:val="0"/>
          <w:sz w:val="20"/>
          <w:szCs w:val="22"/>
          <w:lang w:val="x-none" w:eastAsia="it-IT" w:bidi="ar-SA"/>
        </w:rPr>
        <w:t xml:space="preserve">Si precisa che i modelli per produrre le Domande di cui a margine si possono richiedere (anche a mezzo </w:t>
      </w:r>
      <w:r w:rsidRPr="003E0DC6">
        <w:rPr>
          <w:rFonts w:ascii="Calibri" w:eastAsia="Times New Roman" w:hAnsi="Calibri" w:cs="Arial"/>
          <w:b/>
          <w:i/>
          <w:color w:val="FF0000"/>
          <w:kern w:val="0"/>
          <w:sz w:val="20"/>
          <w:szCs w:val="22"/>
          <w:lang w:val="x-none" w:eastAsia="it-IT" w:bidi="ar-SA"/>
        </w:rPr>
        <w:t>fax al n° 0862/</w:t>
      </w:r>
      <w:r w:rsidRPr="003E0DC6">
        <w:rPr>
          <w:rFonts w:ascii="Calibri" w:eastAsia="Times New Roman" w:hAnsi="Calibri" w:cs="Arial"/>
          <w:b/>
          <w:i/>
          <w:color w:val="FF0000"/>
          <w:kern w:val="0"/>
          <w:sz w:val="20"/>
          <w:szCs w:val="22"/>
          <w:lang w:eastAsia="it-IT" w:bidi="ar-SA"/>
        </w:rPr>
        <w:t>65177</w:t>
      </w:r>
      <w:r w:rsidRPr="003E0DC6">
        <w:rPr>
          <w:rFonts w:ascii="Calibri" w:eastAsia="Times New Roman" w:hAnsi="Calibri" w:cs="Arial"/>
          <w:b/>
          <w:i/>
          <w:color w:val="FF0000"/>
          <w:kern w:val="0"/>
          <w:sz w:val="20"/>
          <w:szCs w:val="22"/>
          <w:lang w:val="x-none" w:eastAsia="it-IT" w:bidi="ar-SA"/>
        </w:rPr>
        <w:t xml:space="preserve"> – email: crlnd.abruzzo01@figc.it</w:t>
      </w:r>
      <w:r w:rsidRPr="003E0DC6">
        <w:rPr>
          <w:rFonts w:ascii="Calibri" w:eastAsia="Times New Roman" w:hAnsi="Calibri" w:cs="Arial"/>
          <w:b/>
          <w:i/>
          <w:kern w:val="0"/>
          <w:sz w:val="20"/>
          <w:szCs w:val="22"/>
          <w:lang w:val="x-none" w:eastAsia="it-IT" w:bidi="ar-SA"/>
        </w:rPr>
        <w:t xml:space="preserve">) o ritirare presso il Comitato Regionale Abruzzo Via </w:t>
      </w:r>
      <w:r w:rsidRPr="003E0DC6">
        <w:rPr>
          <w:rFonts w:ascii="Calibri" w:eastAsia="Times New Roman" w:hAnsi="Calibri" w:cs="Arial"/>
          <w:b/>
          <w:i/>
          <w:kern w:val="0"/>
          <w:sz w:val="20"/>
          <w:szCs w:val="22"/>
          <w:lang w:eastAsia="it-IT" w:bidi="ar-SA"/>
        </w:rPr>
        <w:t>Lanciano snc</w:t>
      </w:r>
      <w:r w:rsidRPr="003E0DC6">
        <w:rPr>
          <w:rFonts w:ascii="Calibri" w:eastAsia="Times New Roman" w:hAnsi="Calibri" w:cs="Arial"/>
          <w:b/>
          <w:i/>
          <w:kern w:val="0"/>
          <w:sz w:val="20"/>
          <w:szCs w:val="22"/>
          <w:lang w:val="x-none" w:eastAsia="it-IT" w:bidi="ar-SA"/>
        </w:rPr>
        <w:t xml:space="preserve"> – 67100 L’Aquila- </w:t>
      </w:r>
      <w:r w:rsidRPr="003E0DC6">
        <w:rPr>
          <w:rFonts w:ascii="Calibri" w:eastAsia="Times New Roman" w:hAnsi="Calibri" w:cs="Times New Roman"/>
          <w:b/>
          <w:kern w:val="0"/>
          <w:sz w:val="20"/>
          <w:szCs w:val="22"/>
          <w:lang w:val="x-none" w:eastAsia="it-IT" w:bidi="ar-SA"/>
        </w:rPr>
        <w:t xml:space="preserve">o scaricare attraverso il link “servizi” del sito </w:t>
      </w:r>
      <w:hyperlink r:id="rId20" w:history="1">
        <w:r w:rsidRPr="003E0DC6">
          <w:rPr>
            <w:rFonts w:ascii="Calibri" w:eastAsia="Times New Roman" w:hAnsi="Calibri" w:cs="Times New Roman"/>
            <w:color w:val="0000FF"/>
            <w:kern w:val="0"/>
            <w:sz w:val="20"/>
            <w:szCs w:val="22"/>
            <w:u w:val="single"/>
            <w:lang w:eastAsia="it-IT" w:bidi="ar-SA"/>
          </w:rPr>
          <w:t>abruzzo.lnd</w:t>
        </w:r>
        <w:r w:rsidRPr="003E0DC6">
          <w:rPr>
            <w:rFonts w:ascii="Calibri" w:eastAsia="Times New Roman" w:hAnsi="Calibri" w:cs="Times New Roman"/>
            <w:color w:val="0000FF"/>
            <w:kern w:val="0"/>
            <w:sz w:val="20"/>
            <w:szCs w:val="22"/>
            <w:u w:val="single"/>
            <w:lang w:val="x-none" w:eastAsia="it-IT" w:bidi="ar-SA"/>
          </w:rPr>
          <w:t>.it</w:t>
        </w:r>
      </w:hyperlink>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jc w:val="center"/>
        <w:rPr>
          <w:rFonts w:ascii="Calibri" w:eastAsia="Times New Roman" w:hAnsi="Calibri" w:cs="Arial"/>
          <w:b/>
          <w:i/>
          <w:kern w:val="0"/>
          <w:sz w:val="20"/>
          <w:szCs w:val="22"/>
          <w:u w:val="single"/>
          <w:lang w:val="x-none" w:eastAsia="it-IT" w:bidi="ar-SA"/>
        </w:rPr>
      </w:pPr>
      <w:r w:rsidRPr="003E0DC6">
        <w:rPr>
          <w:rFonts w:ascii="Calibri" w:eastAsia="Times New Roman" w:hAnsi="Calibri" w:cs="Arial"/>
          <w:b/>
          <w:i/>
          <w:kern w:val="0"/>
          <w:sz w:val="20"/>
          <w:szCs w:val="22"/>
          <w:u w:val="single"/>
          <w:lang w:val="x-none" w:eastAsia="it-IT" w:bidi="ar-SA"/>
        </w:rPr>
        <w:t>e pervenire entro e non oltre il termine perentorio di</w:t>
      </w:r>
    </w:p>
    <w:p w:rsidR="003E0DC6" w:rsidRPr="003E0DC6" w:rsidRDefault="003E0DC6" w:rsidP="003E0DC6">
      <w:pPr>
        <w:suppressAutoHyphens w:val="0"/>
        <w:autoSpaceDN/>
        <w:rPr>
          <w:rFonts w:ascii="Calibri" w:eastAsia="Times New Roman" w:hAnsi="Calibri" w:cs="Arial"/>
          <w:kern w:val="0"/>
          <w:sz w:val="20"/>
          <w:szCs w:val="22"/>
          <w:lang w:val="x-none" w:eastAsia="it-IT" w:bidi="ar-SA"/>
        </w:rPr>
      </w:pPr>
    </w:p>
    <w:p w:rsidR="003E0DC6" w:rsidRPr="003E0DC6" w:rsidRDefault="003E0DC6" w:rsidP="003E0DC6">
      <w:pPr>
        <w:suppressAutoHyphens w:val="0"/>
        <w:autoSpaceDN/>
        <w:rPr>
          <w:rFonts w:ascii="Calibri" w:eastAsia="Times New Roman" w:hAnsi="Calibri" w:cs="Arial"/>
          <w:kern w:val="0"/>
          <w:sz w:val="20"/>
          <w:szCs w:val="22"/>
          <w:lang w:val="x-none" w:eastAsia="it-IT" w:bidi="ar-SA"/>
        </w:rPr>
      </w:pPr>
    </w:p>
    <w:p w:rsidR="003E0DC6" w:rsidRPr="003E0DC6" w:rsidRDefault="003E0DC6" w:rsidP="003E0DC6">
      <w:pPr>
        <w:suppressAutoHyphens w:val="0"/>
        <w:autoSpaceDN/>
        <w:spacing w:after="480"/>
        <w:jc w:val="center"/>
        <w:rPr>
          <w:rFonts w:ascii="Calibri" w:eastAsia="Times New Roman" w:hAnsi="Calibri" w:cs="Times New Roman"/>
          <w:b/>
          <w:i/>
          <w:color w:val="244061"/>
          <w:kern w:val="0"/>
          <w:sz w:val="34"/>
          <w:szCs w:val="34"/>
          <w:highlight w:val="yellow"/>
          <w:u w:val="single"/>
          <w:lang w:val="x-none" w:eastAsia="it-IT" w:bidi="ar-SA"/>
        </w:rPr>
      </w:pPr>
      <w:r w:rsidRPr="003E0DC6">
        <w:rPr>
          <w:rFonts w:ascii="Calibri" w:eastAsia="Times New Roman" w:hAnsi="Calibri" w:cs="Times New Roman"/>
          <w:b/>
          <w:i/>
          <w:color w:val="244061"/>
          <w:kern w:val="0"/>
          <w:sz w:val="34"/>
          <w:szCs w:val="34"/>
          <w:highlight w:val="yellow"/>
          <w:u w:val="single"/>
          <w:lang w:eastAsia="it-IT" w:bidi="ar-SA"/>
        </w:rPr>
        <w:t>MART</w:t>
      </w:r>
      <w:r w:rsidRPr="003E0DC6">
        <w:rPr>
          <w:rFonts w:ascii="Calibri" w:eastAsia="Times New Roman" w:hAnsi="Calibri" w:cs="Times New Roman"/>
          <w:b/>
          <w:i/>
          <w:color w:val="244061"/>
          <w:kern w:val="0"/>
          <w:sz w:val="34"/>
          <w:szCs w:val="34"/>
          <w:highlight w:val="yellow"/>
          <w:u w:val="single"/>
          <w:lang w:val="x-none" w:eastAsia="it-IT" w:bidi="ar-SA"/>
        </w:rPr>
        <w:t>EDI’ 25 GIUGNO 201</w:t>
      </w:r>
      <w:r w:rsidRPr="003E0DC6">
        <w:rPr>
          <w:rFonts w:ascii="Calibri" w:eastAsia="Times New Roman" w:hAnsi="Calibri" w:cs="Times New Roman"/>
          <w:b/>
          <w:i/>
          <w:color w:val="244061"/>
          <w:kern w:val="0"/>
          <w:sz w:val="34"/>
          <w:szCs w:val="34"/>
          <w:highlight w:val="yellow"/>
          <w:u w:val="single"/>
          <w:lang w:eastAsia="it-IT" w:bidi="ar-SA"/>
        </w:rPr>
        <w:t>9</w:t>
      </w:r>
      <w:r w:rsidRPr="003E0DC6">
        <w:rPr>
          <w:rFonts w:ascii="Calibri" w:eastAsia="Times New Roman" w:hAnsi="Calibri" w:cs="Times New Roman"/>
          <w:b/>
          <w:i/>
          <w:color w:val="244061"/>
          <w:kern w:val="0"/>
          <w:sz w:val="34"/>
          <w:szCs w:val="34"/>
          <w:highlight w:val="yellow"/>
          <w:u w:val="single"/>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LISTE DI SVINCOLO COLLETTIVE –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LISTE DI SVINCOLO COLLETTIVE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PERIODO 1° LUGLIO – 15 LUGLIO 2019-(Ore 19,00)</w:t>
      </w:r>
    </w:p>
    <w:p w:rsidR="003E0DC6" w:rsidRPr="003E0DC6" w:rsidRDefault="003E0DC6" w:rsidP="003E0DC6">
      <w:pPr>
        <w:suppressAutoHyphens w:val="0"/>
        <w:autoSpaceDN/>
        <w:spacing w:line="20" w:lineRule="atLeast"/>
        <w:rPr>
          <w:rFonts w:ascii="Calibri" w:eastAsia="Times New Roman" w:hAnsi="Calibri" w:cs="Arial"/>
          <w:kern w:val="0"/>
          <w:lang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 xml:space="preserve">Si ricorda a tutte le Società, che anche per le liste di svincolo </w:t>
      </w:r>
      <w:r w:rsidRPr="003E0DC6">
        <w:rPr>
          <w:rFonts w:ascii="Calibri" w:eastAsia="Times New Roman" w:hAnsi="Calibri" w:cs="Times New Roman"/>
          <w:kern w:val="0"/>
          <w:sz w:val="22"/>
          <w:szCs w:val="22"/>
          <w:u w:val="single"/>
          <w:lang w:val="x-none" w:eastAsia="it-IT" w:bidi="ar-SA"/>
        </w:rPr>
        <w:t>sarà necessario effettuare – nei termini previsti</w:t>
      </w:r>
      <w:r w:rsidRPr="003E0DC6">
        <w:rPr>
          <w:rFonts w:ascii="Calibri" w:eastAsia="Times New Roman" w:hAnsi="Calibri" w:cs="Times New Roman"/>
          <w:kern w:val="0"/>
          <w:sz w:val="22"/>
          <w:szCs w:val="22"/>
          <w:lang w:val="x-none" w:eastAsia="it-IT" w:bidi="ar-SA"/>
        </w:rPr>
        <w:t xml:space="preserve"> - la procedura attraverso l’Area Società del sito </w:t>
      </w:r>
      <w:hyperlink r:id="rId21" w:history="1">
        <w:r w:rsidRPr="003E0DC6">
          <w:rPr>
            <w:rFonts w:ascii="Calibri" w:eastAsia="Times New Roman" w:hAnsi="Calibri" w:cs="Times New Roman"/>
            <w:color w:val="0000FF"/>
            <w:kern w:val="0"/>
            <w:sz w:val="22"/>
            <w:szCs w:val="22"/>
            <w:u w:val="single"/>
            <w:lang w:val="x-none" w:eastAsia="it-IT" w:bidi="ar-SA"/>
          </w:rPr>
          <w:t>abruzzo.lnd.it</w:t>
        </w:r>
      </w:hyperlink>
      <w:r w:rsidRPr="003E0DC6">
        <w:rPr>
          <w:rFonts w:ascii="Calibri" w:eastAsia="Times New Roman" w:hAnsi="Calibri" w:cs="Times New Roman"/>
          <w:kern w:val="0"/>
          <w:sz w:val="22"/>
          <w:szCs w:val="22"/>
          <w:lang w:val="x-none" w:eastAsia="it-IT" w:bidi="ar-SA"/>
        </w:rPr>
        <w:t xml:space="preserve"> utilizzando sempre “id” e “password” in possesso.</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La richiesta di svincolo si realizza componendo un documento di svincolo che comprenda i calciatori che si intendono svincolare.</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Questo documento sarà stampabile in maniera provvisoria un numero illimitato di volte.</w:t>
      </w: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b/>
          <w:kern w:val="0"/>
          <w:sz w:val="22"/>
          <w:szCs w:val="22"/>
          <w:lang w:val="x-none" w:eastAsia="it-IT" w:bidi="ar-SA"/>
        </w:rPr>
        <w:t>Una volta certi che nel documento siano presenti tutti e solo i giocatori che si intendono svincolare, si potrà procedere ALLA STAMPA DEFINITIVA DEL DOCUMENTO DI SVINCOLO.</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kern w:val="0"/>
          <w:sz w:val="22"/>
          <w:szCs w:val="22"/>
          <w:highlight w:val="yellow"/>
          <w:lang w:val="x-none" w:eastAsia="it-IT" w:bidi="ar-SA"/>
        </w:rPr>
        <w:lastRenderedPageBreak/>
        <w:t xml:space="preserve">Questo, una volta firmato dal Presidente della Società, dovrà essere inviato entro i termini previsti al Comitato di competenza tramite il sistema informatico on-line, </w:t>
      </w:r>
      <w:r w:rsidRPr="003E0DC6">
        <w:rPr>
          <w:rFonts w:ascii="Calibri" w:eastAsia="Times New Roman" w:hAnsi="Calibri" w:cs="Times New Roman"/>
          <w:b/>
          <w:kern w:val="0"/>
          <w:sz w:val="22"/>
          <w:szCs w:val="22"/>
          <w:highlight w:val="yellow"/>
          <w:lang w:val="x-none" w:eastAsia="it-IT" w:bidi="ar-SA"/>
        </w:rPr>
        <w:t>con documentazione dematerializzata attraverso la nuova procedura della firma elettronica.</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Le sopra citate operazioni saranno eseguite nel rispetto delle Norme Federali previste per gli svincoli.</w:t>
      </w:r>
    </w:p>
    <w:p w:rsidR="003E0DC6" w:rsidRPr="003E0DC6" w:rsidRDefault="003E0DC6" w:rsidP="003E0DC6">
      <w:pPr>
        <w:suppressAutoHyphens w:val="0"/>
        <w:autoSpaceDN/>
        <w:spacing w:after="480"/>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 xml:space="preserve">Qualora una società dovesse trovarsi in difficoltà nell’utilizzo della procedura informatizzata potrà contattare preventivamente </w:t>
      </w:r>
      <w:r w:rsidRPr="003E0DC6">
        <w:rPr>
          <w:rFonts w:ascii="Calibri" w:eastAsia="Batang" w:hAnsi="Calibri" w:cs="Arial"/>
          <w:kern w:val="0"/>
          <w:sz w:val="22"/>
          <w:szCs w:val="22"/>
          <w:u w:val="single"/>
          <w:lang w:val="x-none" w:eastAsia="it-IT" w:bidi="ar-SA"/>
        </w:rPr>
        <w:t>e con congruo anticipo</w:t>
      </w:r>
      <w:r w:rsidRPr="003E0DC6">
        <w:rPr>
          <w:rFonts w:ascii="Calibri" w:eastAsia="Batang" w:hAnsi="Calibri" w:cs="Arial"/>
          <w:kern w:val="0"/>
          <w:sz w:val="22"/>
          <w:szCs w:val="22"/>
          <w:lang w:val="x-none" w:eastAsia="it-IT" w:bidi="ar-SA"/>
        </w:rPr>
        <w:t xml:space="preserve">, il Comitato Regionale Abruzzo al fine di chiedere delucidazioni per poter effettuare gli svincoli via internet. (Tel.0862/42681;fax0862/65177;e-mail: </w:t>
      </w:r>
      <w:hyperlink r:id="rId22" w:history="1">
        <w:r w:rsidRPr="003E0DC6">
          <w:rPr>
            <w:rFonts w:ascii="Calibri" w:eastAsia="Batang" w:hAnsi="Calibri" w:cs="Arial"/>
            <w:color w:val="0000FF"/>
            <w:kern w:val="0"/>
            <w:sz w:val="22"/>
            <w:szCs w:val="22"/>
            <w:u w:val="single"/>
            <w:lang w:val="x-none" w:eastAsia="it-IT" w:bidi="ar-SA"/>
          </w:rPr>
          <w:t>crlnd.abruzzo01@figc.it</w:t>
        </w:r>
      </w:hyperlink>
      <w:r w:rsidRPr="003E0DC6">
        <w:rPr>
          <w:rFonts w:ascii="Calibri" w:eastAsia="Batang" w:hAnsi="Calibri" w:cs="Arial"/>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VADEMECUM PER SVINCOLI</w:t>
      </w:r>
    </w:p>
    <w:p w:rsidR="003E0DC6" w:rsidRPr="003E0DC6" w:rsidRDefault="003E0DC6" w:rsidP="003E0DC6">
      <w:pPr>
        <w:suppressAutoHyphens w:val="0"/>
        <w:autoSpaceDE w:val="0"/>
        <w:adjustRightInd w:val="0"/>
        <w:jc w:val="center"/>
        <w:rPr>
          <w:rFonts w:ascii="Calibri" w:eastAsia="Times New Roman" w:hAnsi="Calibri" w:cs="Arial"/>
          <w:bCs/>
          <w:kern w:val="0"/>
          <w:sz w:val="28"/>
          <w:szCs w:val="28"/>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50"/>
        <w:gridCol w:w="2445"/>
      </w:tblGrid>
      <w:tr w:rsidR="003E0DC6" w:rsidRPr="003E0DC6" w:rsidTr="00A03697">
        <w:tc>
          <w:tcPr>
            <w:tcW w:w="4888" w:type="dxa"/>
            <w:gridSpan w:val="2"/>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TIPO DI SVINCOLO</w:t>
            </w:r>
          </w:p>
        </w:tc>
        <w:tc>
          <w:tcPr>
            <w:tcW w:w="2450"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CHI LO RICHIEDE</w:t>
            </w:r>
          </w:p>
        </w:tc>
        <w:tc>
          <w:tcPr>
            <w:tcW w:w="2445"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SCADENZA</w:t>
            </w:r>
          </w:p>
        </w:tc>
      </w:tr>
      <w:tr w:rsidR="003E0DC6" w:rsidRPr="003E0DC6" w:rsidTr="00A03697">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val="en-US" w:eastAsia="it-IT" w:bidi="ar-SA"/>
              </w:rPr>
              <w:t>ART. 32 BIS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DECADENZA DEL TESSERAMENTO ETA' MINIMA 25 ANNI NATI ENTRO IL 30/6/1994</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15/06/19 AL</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15/07/19 (SPEDIRE)</w:t>
            </w:r>
          </w:p>
        </w:tc>
      </w:tr>
      <w:tr w:rsidR="003E0DC6" w:rsidRPr="003E0DC6" w:rsidTr="00A03697">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107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RINUNCIA DELLA SOCIETA'</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SOCIETA'</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 AL 15 LUGLIO 2019</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(inviare con firma elettronica)</w:t>
            </w:r>
          </w:p>
        </w:tc>
      </w:tr>
      <w:tr w:rsidR="003E0DC6" w:rsidRPr="003E0DC6" w:rsidTr="00A03697">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108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ACCORDO TRA SOCIETA' E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SOCIETA' IN ACCORDO CON IL CALCIATORE</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DEPOSITARE O PERVENIRE ENTRO IL 28/06/19</w:t>
            </w:r>
          </w:p>
        </w:tc>
      </w:tr>
      <w:tr w:rsidR="003E0DC6" w:rsidRPr="003E0DC6" w:rsidTr="00A03697">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109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INATTIVITA' DEL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N/>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SPEDIRE ENTRO IL 15/06/19</w:t>
            </w:r>
          </w:p>
        </w:tc>
      </w:tr>
    </w:tbl>
    <w:p w:rsidR="003E0DC6" w:rsidRPr="003E0DC6" w:rsidRDefault="003E0DC6" w:rsidP="003E0DC6">
      <w:pPr>
        <w:spacing w:after="240" w:line="276" w:lineRule="auto"/>
        <w:jc w:val="both"/>
        <w:rPr>
          <w:rFonts w:ascii="Calibri" w:hAnsi="Calibri" w:cs="Calibri"/>
          <w:sz w:val="22"/>
          <w:szCs w:val="22"/>
          <w:lang w:val="x-none"/>
        </w:rPr>
      </w:pPr>
    </w:p>
    <w:p w:rsidR="003E0DC6" w:rsidRDefault="003E0DC6" w:rsidP="003006F0">
      <w:pPr>
        <w:suppressAutoHyphens w:val="0"/>
        <w:spacing w:after="480" w:line="276" w:lineRule="auto"/>
        <w:jc w:val="center"/>
        <w:rPr>
          <w:rStyle w:val="Collegamentoipertestuale"/>
        </w:rPr>
      </w:pPr>
    </w:p>
    <w:p w:rsidR="00EA2E42" w:rsidRDefault="00EA2E42" w:rsidP="003006F0">
      <w:pPr>
        <w:suppressAutoHyphens w:val="0"/>
        <w:spacing w:after="480" w:line="276" w:lineRule="auto"/>
        <w:jc w:val="center"/>
        <w:rPr>
          <w:rStyle w:val="Collegamentoipertestuale"/>
        </w:rPr>
      </w:pPr>
    </w:p>
    <w:p w:rsidR="00EA2E42" w:rsidRDefault="00EA2E42" w:rsidP="003006F0">
      <w:pPr>
        <w:suppressAutoHyphens w:val="0"/>
        <w:spacing w:after="480" w:line="276" w:lineRule="auto"/>
        <w:jc w:val="center"/>
        <w:rPr>
          <w:rStyle w:val="Collegamentoipertestuale"/>
        </w:rPr>
      </w:pPr>
    </w:p>
    <w:p w:rsidR="00EA2E42" w:rsidRDefault="00EA2E42" w:rsidP="003006F0">
      <w:pPr>
        <w:suppressAutoHyphens w:val="0"/>
        <w:spacing w:after="480" w:line="276" w:lineRule="auto"/>
        <w:jc w:val="center"/>
        <w:rPr>
          <w:rStyle w:val="Collegamentoipertestuale"/>
        </w:rPr>
      </w:pPr>
    </w:p>
    <w:p w:rsidR="00EA2E42" w:rsidRDefault="00EA2E42" w:rsidP="003006F0">
      <w:pPr>
        <w:suppressAutoHyphens w:val="0"/>
        <w:spacing w:after="480" w:line="276" w:lineRule="auto"/>
        <w:jc w:val="center"/>
        <w:rPr>
          <w:rStyle w:val="Collegamentoipertestuale"/>
        </w:rPr>
      </w:pPr>
    </w:p>
    <w:p w:rsidR="00EA2E42" w:rsidRDefault="00EA2E42" w:rsidP="003006F0">
      <w:pPr>
        <w:suppressAutoHyphens w:val="0"/>
        <w:spacing w:after="480" w:line="276" w:lineRule="auto"/>
        <w:jc w:val="center"/>
        <w:rPr>
          <w:rStyle w:val="Collegamentoipertestuale"/>
        </w:rPr>
      </w:pPr>
    </w:p>
    <w:p w:rsidR="00EA2E42" w:rsidRPr="003E0DC6" w:rsidRDefault="00EA2E42" w:rsidP="003006F0">
      <w:pPr>
        <w:suppressAutoHyphens w:val="0"/>
        <w:spacing w:after="480" w:line="276" w:lineRule="auto"/>
        <w:jc w:val="center"/>
        <w:rPr>
          <w:rStyle w:val="Collegamentoipertestuale"/>
          <w:rFonts w:hint="eastAsia"/>
        </w:rPr>
      </w:pPr>
    </w:p>
    <w:p w:rsidR="003006F0" w:rsidRDefault="00D92E0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RIPESCAGGI UNDER 17 ed UNDER 15 REGIONALI - S.S. 2019/2020</w:t>
      </w:r>
    </w:p>
    <w:p w:rsidR="003E0DC6" w:rsidRPr="003E0DC6" w:rsidRDefault="003E0DC6" w:rsidP="003E0DC6">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3E0DC6">
        <w:rPr>
          <w:rFonts w:ascii="Calibri" w:eastAsia="Times New Roman" w:hAnsi="Calibri" w:cs="Calibri"/>
          <w:b/>
          <w:color w:val="244061"/>
          <w:kern w:val="0"/>
          <w:sz w:val="28"/>
          <w:szCs w:val="28"/>
          <w:lang w:eastAsia="it-IT" w:bidi="ar-SA"/>
        </w:rPr>
        <w:t>Venerdì 19 Luglio 2019 – Ore 12.00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 xml:space="preserve">Le domande di ripescaggio devono pervenire od essere depositate presso la sede del Comitato Regionale (Via </w:t>
      </w:r>
      <w:r w:rsidRPr="003E0DC6">
        <w:rPr>
          <w:rFonts w:ascii="Calibri" w:eastAsia="Times New Roman" w:hAnsi="Calibri" w:cs="Calibri"/>
          <w:kern w:val="0"/>
          <w:sz w:val="22"/>
          <w:szCs w:val="22"/>
          <w:lang w:eastAsia="it-IT" w:bidi="ar-SA"/>
        </w:rPr>
        <w:t>Lanciano</w:t>
      </w:r>
      <w:r w:rsidRPr="003E0DC6">
        <w:rPr>
          <w:rFonts w:ascii="Calibri" w:eastAsia="Times New Roman" w:hAnsi="Calibri" w:cs="Calibri"/>
          <w:kern w:val="0"/>
          <w:sz w:val="22"/>
          <w:szCs w:val="22"/>
          <w:lang w:val="x-none" w:eastAsia="it-IT" w:bidi="ar-SA"/>
        </w:rPr>
        <w:t xml:space="preserve">, </w:t>
      </w:r>
      <w:r w:rsidRPr="003E0DC6">
        <w:rPr>
          <w:rFonts w:ascii="Calibri" w:eastAsia="Times New Roman" w:hAnsi="Calibri" w:cs="Calibri"/>
          <w:kern w:val="0"/>
          <w:sz w:val="22"/>
          <w:szCs w:val="22"/>
          <w:lang w:eastAsia="it-IT" w:bidi="ar-SA"/>
        </w:rPr>
        <w:t>snc</w:t>
      </w:r>
      <w:r w:rsidRPr="003E0DC6">
        <w:rPr>
          <w:rFonts w:ascii="Calibri" w:eastAsia="Times New Roman" w:hAnsi="Calibri" w:cs="Calibri"/>
          <w:kern w:val="0"/>
          <w:sz w:val="22"/>
          <w:szCs w:val="22"/>
          <w:lang w:val="x-none" w:eastAsia="it-IT" w:bidi="ar-SA"/>
        </w:rPr>
        <w:t xml:space="preserve"> -67100 L’Aquila) entro il termine sopra riportato compilando la scheda allegata al C.U. n. 6</w:t>
      </w:r>
      <w:r w:rsidRPr="003E0DC6">
        <w:rPr>
          <w:rFonts w:ascii="Calibri" w:eastAsia="Times New Roman" w:hAnsi="Calibri" w:cs="Calibri"/>
          <w:kern w:val="0"/>
          <w:sz w:val="22"/>
          <w:szCs w:val="22"/>
          <w:lang w:eastAsia="it-IT" w:bidi="ar-SA"/>
        </w:rPr>
        <w:t>6</w:t>
      </w:r>
      <w:r w:rsidRPr="003E0DC6">
        <w:rPr>
          <w:rFonts w:ascii="Calibri" w:eastAsia="Times New Roman" w:hAnsi="Calibri" w:cs="Calibri"/>
          <w:kern w:val="0"/>
          <w:sz w:val="22"/>
          <w:szCs w:val="22"/>
          <w:lang w:val="x-none" w:eastAsia="it-IT" w:bidi="ar-SA"/>
        </w:rPr>
        <w:t xml:space="preserve"> del </w:t>
      </w:r>
      <w:r w:rsidRPr="003E0DC6">
        <w:rPr>
          <w:rFonts w:ascii="Calibri" w:eastAsia="Times New Roman" w:hAnsi="Calibri" w:cs="Calibri"/>
          <w:kern w:val="0"/>
          <w:sz w:val="22"/>
          <w:szCs w:val="22"/>
          <w:lang w:eastAsia="it-IT" w:bidi="ar-SA"/>
        </w:rPr>
        <w:t>13</w:t>
      </w:r>
      <w:r w:rsidRPr="003E0DC6">
        <w:rPr>
          <w:rFonts w:ascii="Calibri" w:eastAsia="Times New Roman" w:hAnsi="Calibri" w:cs="Calibri"/>
          <w:kern w:val="0"/>
          <w:sz w:val="22"/>
          <w:szCs w:val="22"/>
          <w:lang w:val="x-none" w:eastAsia="it-IT" w:bidi="ar-SA"/>
        </w:rPr>
        <w:t>.06.2018 del CR Abruzzo (o aprendo il link sotto riportato); la stessa è anche reperibile sulla finestra dell’Attività Giovanile LND (iscrizione campionati-modulistica) presente sulla home page del sito del Comitato Regionale Abruzzo LND.</w:t>
      </w:r>
    </w:p>
    <w:p w:rsidR="003E0DC6" w:rsidRPr="003E0DC6" w:rsidRDefault="003E0DC6"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hyperlink r:id="rId24" w:history="1">
        <w:r w:rsidRPr="003E0DC6">
          <w:rPr>
            <w:rFonts w:ascii="Calibri" w:eastAsia="Times New Roman" w:hAnsi="Calibri" w:cs="Calibri"/>
            <w:b/>
            <w:noProof/>
            <w:color w:val="0000FF"/>
            <w:kern w:val="0"/>
            <w:sz w:val="28"/>
            <w:szCs w:val="28"/>
            <w:lang w:eastAsia="it-IT" w:bidi="ar-SA"/>
          </w:rPr>
          <w:t>SCARICA LA DOMANDA</w:t>
        </w:r>
      </w:hyperlink>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Allegati:</w:t>
      </w:r>
    </w:p>
    <w:p w:rsidR="003E0DC6" w:rsidRPr="003E0DC6" w:rsidRDefault="003E0DC6" w:rsidP="003E0DC6">
      <w:pPr>
        <w:suppressAutoHyphens w:val="0"/>
        <w:autoSpaceDN/>
        <w:spacing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val="x-none" w:eastAsia="it-IT" w:bidi="ar-SA"/>
        </w:rPr>
        <w:t>Allegato n.</w:t>
      </w:r>
      <w:r w:rsidRPr="003E0DC6">
        <w:rPr>
          <w:rFonts w:ascii="Calibri" w:eastAsia="Times New Roman" w:hAnsi="Calibri" w:cs="Calibri"/>
          <w:kern w:val="0"/>
          <w:sz w:val="22"/>
          <w:szCs w:val="22"/>
          <w:lang w:eastAsia="it-IT" w:bidi="ar-SA"/>
        </w:rPr>
        <w:t>1</w:t>
      </w:r>
      <w:r w:rsidRPr="003E0DC6">
        <w:rPr>
          <w:rFonts w:ascii="Calibri" w:eastAsia="Times New Roman" w:hAnsi="Calibri" w:cs="Calibri"/>
          <w:kern w:val="0"/>
          <w:sz w:val="22"/>
          <w:szCs w:val="22"/>
          <w:lang w:val="x-none" w:eastAsia="it-IT" w:bidi="ar-SA"/>
        </w:rPr>
        <w:t xml:space="preserve"> – </w:t>
      </w:r>
      <w:r w:rsidRPr="003E0DC6">
        <w:rPr>
          <w:rFonts w:ascii="Calibri" w:eastAsia="Times New Roman" w:hAnsi="Calibri" w:cs="Calibri"/>
          <w:kern w:val="0"/>
          <w:sz w:val="22"/>
          <w:szCs w:val="22"/>
          <w:lang w:eastAsia="it-IT" w:bidi="ar-SA"/>
        </w:rPr>
        <w:t>Nuovo Codice di Giustizia Sportiva</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p>
    <w:p w:rsidR="003E0DC6" w:rsidRDefault="003E0DC6" w:rsidP="003006F0">
      <w:pPr>
        <w:suppressAutoHyphens w:val="0"/>
        <w:spacing w:after="240" w:line="276" w:lineRule="auto"/>
        <w:jc w:val="center"/>
        <w:rPr>
          <w:rFonts w:ascii="Calibri" w:eastAsia="Times New Roman" w:hAnsi="Calibri" w:cs="Calibri"/>
          <w:kern w:val="0"/>
          <w:sz w:val="22"/>
          <w:szCs w:val="22"/>
          <w:lang w:eastAsia="it-IT" w:bidi="ar-SA"/>
        </w:rPr>
      </w:pPr>
    </w:p>
    <w:p w:rsidR="009F62EA" w:rsidRDefault="009F62EA" w:rsidP="003E0DC6">
      <w:pPr>
        <w:suppressAutoHyphens w:val="0"/>
        <w:spacing w:after="240" w:line="276" w:lineRule="auto"/>
        <w:jc w:val="center"/>
        <w:rPr>
          <w:rFonts w:ascii="Calibri" w:eastAsia="Times New Roman" w:hAnsi="Calibri" w:cs="Calibri"/>
          <w:kern w:val="0"/>
          <w:sz w:val="28"/>
          <w:szCs w:val="28"/>
          <w:lang w:eastAsia="it-IT" w:bidi="ar-SA"/>
        </w:rPr>
      </w:pPr>
    </w:p>
    <w:p w:rsidR="003006F0" w:rsidRDefault="003006F0" w:rsidP="003006F0">
      <w:pPr>
        <w:suppressAutoHyphens w:val="0"/>
        <w:jc w:val="both"/>
        <w:rPr>
          <w:rFonts w:ascii="Calibri" w:eastAsia="Times New Roman" w:hAnsi="Calibri" w:cs="Calibri"/>
          <w:b/>
          <w:kern w:val="0"/>
          <w:sz w:val="28"/>
          <w:szCs w:val="28"/>
          <w:u w:val="single"/>
          <w:lang w:eastAsia="it-IT" w:bidi="ar-SA"/>
        </w:rPr>
      </w:pPr>
    </w:p>
    <w:p w:rsidR="003006F0" w:rsidRDefault="003006F0" w:rsidP="003006F0">
      <w:pPr>
        <w:suppressAutoHyphens w:val="0"/>
        <w:rPr>
          <w:rFonts w:ascii="Times New Roman" w:eastAsia="Times New Roman" w:hAnsi="Times New Roman" w:cs="Times New Roman"/>
          <w:color w:val="000000"/>
          <w:kern w:val="0"/>
          <w:sz w:val="12"/>
          <w:szCs w:val="12"/>
          <w:lang w:eastAsia="it-IT"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1602DB" w:rsidRDefault="001602DB" w:rsidP="00E71C96">
      <w:pPr>
        <w:suppressAutoHyphens w:val="0"/>
        <w:autoSpaceDN/>
        <w:rPr>
          <w:rFonts w:ascii="Calibri" w:eastAsia="Times New Roman" w:hAnsi="Calibri" w:cs="Times New Roman"/>
          <w:b/>
          <w:bCs/>
          <w:color w:val="0070C0"/>
          <w:kern w:val="32"/>
          <w:sz w:val="44"/>
          <w:szCs w:val="44"/>
          <w:lang w:eastAsia="it-IT" w:bidi="ar-SA"/>
        </w:rPr>
      </w:pPr>
    </w:p>
    <w:p w:rsidR="003006F0" w:rsidRDefault="003006F0" w:rsidP="003006F0">
      <w:pPr>
        <w:suppressAutoHyphens w:val="0"/>
        <w:spacing w:line="0" w:lineRule="atLeast"/>
        <w:jc w:val="center"/>
        <w:rPr>
          <w:rFonts w:ascii="Calibri" w:eastAsia="Times New Roman" w:hAnsi="Calibri" w:cs="Arial"/>
          <w:b/>
          <w:kern w:val="0"/>
          <w:sz w:val="16"/>
          <w:szCs w:val="16"/>
          <w:lang w:eastAsia="it-IT" w:bidi="ar-SA"/>
        </w:rPr>
      </w:pPr>
    </w:p>
    <w:p w:rsidR="003006F0" w:rsidRPr="001553E8" w:rsidRDefault="003006F0" w:rsidP="0027717C">
      <w:pPr>
        <w:spacing w:line="276" w:lineRule="auto"/>
        <w:jc w:val="center"/>
        <w:rPr>
          <w:rFonts w:ascii="Calibri" w:eastAsia="Times New Roman" w:hAnsi="Calibri" w:cs="Arial"/>
          <w:b/>
          <w:kern w:val="0"/>
          <w:lang w:eastAsia="it-IT" w:bidi="ar-SA"/>
        </w:rPr>
      </w:pPr>
      <w:r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EA2E42">
        <w:rPr>
          <w:rFonts w:ascii="Calibri" w:hAnsi="Calibri" w:cs="Arial"/>
          <w:b/>
          <w:bCs/>
          <w:sz w:val="22"/>
          <w:szCs w:val="22"/>
        </w:rPr>
        <w:t>20</w:t>
      </w:r>
      <w:bookmarkStart w:id="0" w:name="_GoBack"/>
      <w:bookmarkEnd w:id="0"/>
      <w:r>
        <w:rPr>
          <w:rFonts w:ascii="Calibri" w:hAnsi="Calibri" w:cs="Arial"/>
          <w:b/>
          <w:bCs/>
          <w:sz w:val="22"/>
          <w:szCs w:val="22"/>
        </w:rPr>
        <w:t>-0</w:t>
      </w:r>
      <w:r w:rsidR="00A23EF5">
        <w:rPr>
          <w:rFonts w:ascii="Calibri" w:hAnsi="Calibri" w:cs="Arial"/>
          <w:b/>
          <w:bCs/>
          <w:sz w:val="22"/>
          <w:szCs w:val="22"/>
        </w:rPr>
        <w:t>6</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02" w:rsidRDefault="00D92E02" w:rsidP="00F176A9">
      <w:pPr>
        <w:rPr>
          <w:rFonts w:hint="eastAsia"/>
        </w:rPr>
      </w:pPr>
      <w:r>
        <w:separator/>
      </w:r>
    </w:p>
  </w:endnote>
  <w:endnote w:type="continuationSeparator" w:id="0">
    <w:p w:rsidR="00D92E02" w:rsidRDefault="00D92E0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85608D">
      <w:rPr>
        <w:rFonts w:ascii="Calibri" w:hAnsi="Calibri" w:cs="Calibri"/>
        <w:b/>
        <w:color w:val="17365D"/>
        <w:sz w:val="22"/>
        <w:szCs w:val="22"/>
      </w:rPr>
      <w:t>50</w:t>
    </w:r>
    <w:r>
      <w:rPr>
        <w:rFonts w:ascii="Calibri" w:hAnsi="Calibri" w:cs="Calibri"/>
        <w:b/>
        <w:color w:val="17365D"/>
        <w:sz w:val="22"/>
        <w:szCs w:val="22"/>
      </w:rPr>
      <w:t xml:space="preserve">   del  </w:t>
    </w:r>
    <w:r w:rsidR="0085608D">
      <w:rPr>
        <w:rFonts w:ascii="Calibri" w:hAnsi="Calibri" w:cs="Calibri"/>
        <w:b/>
        <w:color w:val="17365D"/>
        <w:sz w:val="22"/>
        <w:szCs w:val="22"/>
      </w:rPr>
      <w:t>20</w:t>
    </w:r>
    <w:r>
      <w:rPr>
        <w:rFonts w:ascii="Calibri" w:hAnsi="Calibri" w:cs="Calibri"/>
        <w:b/>
        <w:color w:val="17365D"/>
        <w:sz w:val="22"/>
        <w:szCs w:val="22"/>
      </w:rPr>
      <w:t xml:space="preserve"> </w:t>
    </w:r>
    <w:r w:rsidR="00F64419">
      <w:rPr>
        <w:rFonts w:ascii="Calibri" w:hAnsi="Calibri" w:cs="Calibri"/>
        <w:b/>
        <w:color w:val="17365D"/>
        <w:sz w:val="22"/>
        <w:szCs w:val="22"/>
      </w:rPr>
      <w:t>Giugno</w:t>
    </w:r>
    <w:r>
      <w:rPr>
        <w:rFonts w:ascii="Calibri" w:hAnsi="Calibri" w:cs="Calibri"/>
        <w:b/>
        <w:color w:val="17365D"/>
        <w:sz w:val="22"/>
        <w:szCs w:val="22"/>
      </w:rPr>
      <w:t xml:space="preserve"> 2019</w:t>
    </w:r>
  </w:p>
  <w:p w:rsidR="002A7A88" w:rsidRDefault="002A7A88"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A7A88" w:rsidRDefault="002A7A88"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2A7A88" w:rsidRDefault="002A7A88"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02" w:rsidRDefault="00D92E02" w:rsidP="00F176A9">
      <w:pPr>
        <w:rPr>
          <w:rFonts w:hint="eastAsia"/>
        </w:rPr>
      </w:pPr>
      <w:r>
        <w:separator/>
      </w:r>
    </w:p>
  </w:footnote>
  <w:footnote w:type="continuationSeparator" w:id="0">
    <w:p w:rsidR="00D92E02" w:rsidRDefault="00D92E0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9"/>
  </w:num>
  <w:num w:numId="3">
    <w:abstractNumId w:val="4"/>
  </w:num>
  <w:num w:numId="4">
    <w:abstractNumId w:val="19"/>
  </w:num>
  <w:num w:numId="5">
    <w:abstractNumId w:val="16"/>
  </w:num>
  <w:num w:numId="6">
    <w:abstractNumId w:val="18"/>
  </w:num>
  <w:num w:numId="7">
    <w:abstractNumId w:val="23"/>
  </w:num>
  <w:num w:numId="8">
    <w:abstractNumId w:val="1"/>
  </w:num>
  <w:num w:numId="9">
    <w:abstractNumId w:val="13"/>
  </w:num>
  <w:num w:numId="10">
    <w:abstractNumId w:val="10"/>
  </w:num>
  <w:num w:numId="11">
    <w:abstractNumId w:val="11"/>
  </w:num>
  <w:num w:numId="12">
    <w:abstractNumId w:val="8"/>
  </w:num>
  <w:num w:numId="13">
    <w:abstractNumId w:val="22"/>
  </w:num>
  <w:num w:numId="14">
    <w:abstractNumId w:val="3"/>
  </w:num>
  <w:num w:numId="15">
    <w:abstractNumId w:val="6"/>
  </w:num>
  <w:num w:numId="16">
    <w:abstractNumId w:val="14"/>
  </w:num>
  <w:num w:numId="17">
    <w:abstractNumId w:val="17"/>
  </w:num>
  <w:num w:numId="18">
    <w:abstractNumId w:val="21"/>
  </w:num>
  <w:num w:numId="19">
    <w:abstractNumId w:val="0"/>
  </w:num>
  <w:num w:numId="20">
    <w:abstractNumId w:val="5"/>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554B"/>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C026F"/>
    <w:rsid w:val="009C2049"/>
    <w:rsid w:val="009C7E3F"/>
    <w:rsid w:val="009D008F"/>
    <w:rsid w:val="009D00F6"/>
    <w:rsid w:val="009D19E9"/>
    <w:rsid w:val="009D4CF6"/>
    <w:rsid w:val="009D4E19"/>
    <w:rsid w:val="009D4F8B"/>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376"/>
    <w:rsid w:val="00AC3ABB"/>
    <w:rsid w:val="00AC4BD3"/>
    <w:rsid w:val="00AC51B7"/>
    <w:rsid w:val="00AC51D8"/>
    <w:rsid w:val="00AE5507"/>
    <w:rsid w:val="00AE636F"/>
    <w:rsid w:val="00AE687A"/>
    <w:rsid w:val="00AF2B31"/>
    <w:rsid w:val="00AF6B66"/>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4222"/>
    <w:rsid w:val="00CE5FA8"/>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609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bruzzo.lnd.it/wp-content/uploads/a61_2.docx" TargetMode="External"/><Relationship Id="rId20" Type="http://schemas.openxmlformats.org/officeDocument/2006/relationships/hyperlink" Target="http://www.figcabruzzo.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figcabruzzo.it/comunicati/0/2018_2019/allegati/66_2.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bruzzo.lnd.it/wp-content/uploads/a61_1.docx" TargetMode="External"/><Relationship Id="rId23" Type="http://schemas.openxmlformats.org/officeDocument/2006/relationships/hyperlink" Target="http://www.figcabruzzo.it/comunicati/6/2018_2019/4.doc" TargetMode="External"/><Relationship Id="rId28" Type="http://schemas.openxmlformats.org/officeDocument/2006/relationships/footer" Target="footer2.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mailto:crlnd.abruzzo01@figc.it"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8A78-EBB6-40EF-AD76-E67331EA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4616</Words>
  <Characters>26315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669</cp:revision>
  <cp:lastPrinted>2019-03-05T17:30:00Z</cp:lastPrinted>
  <dcterms:created xsi:type="dcterms:W3CDTF">2018-06-21T07:54:00Z</dcterms:created>
  <dcterms:modified xsi:type="dcterms:W3CDTF">2019-06-20T16:08:00Z</dcterms:modified>
</cp:coreProperties>
</file>