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D8" w:rsidRPr="00A362D8" w:rsidRDefault="00A362D8" w:rsidP="00A06C40">
      <w:pPr>
        <w:spacing w:after="0"/>
        <w:jc w:val="center"/>
        <w:rPr>
          <w:b/>
          <w:sz w:val="36"/>
          <w:szCs w:val="36"/>
        </w:rPr>
      </w:pPr>
      <w:r w:rsidRPr="00A362D8">
        <w:rPr>
          <w:b/>
          <w:sz w:val="36"/>
          <w:szCs w:val="36"/>
        </w:rPr>
        <w:t xml:space="preserve">COPPA PROVINCIA </w:t>
      </w:r>
      <w:proofErr w:type="spellStart"/>
      <w:r w:rsidRPr="00A362D8">
        <w:rPr>
          <w:b/>
          <w:sz w:val="36"/>
          <w:szCs w:val="36"/>
        </w:rPr>
        <w:t>DI</w:t>
      </w:r>
      <w:proofErr w:type="spellEnd"/>
      <w:r w:rsidRPr="00A362D8">
        <w:rPr>
          <w:b/>
          <w:sz w:val="36"/>
          <w:szCs w:val="36"/>
        </w:rPr>
        <w:t xml:space="preserve"> TERAMO</w:t>
      </w:r>
      <w:r w:rsidR="00A06C40" w:rsidRPr="00A362D8">
        <w:rPr>
          <w:b/>
          <w:sz w:val="36"/>
          <w:szCs w:val="36"/>
        </w:rPr>
        <w:t xml:space="preserve"> </w:t>
      </w:r>
    </w:p>
    <w:p w:rsidR="00A06C40" w:rsidRPr="00A06C40" w:rsidRDefault="00A06C40" w:rsidP="00A362D8">
      <w:pPr>
        <w:spacing w:after="0"/>
        <w:jc w:val="center"/>
        <w:rPr>
          <w:b/>
          <w:sz w:val="32"/>
          <w:szCs w:val="32"/>
        </w:rPr>
      </w:pPr>
      <w:r w:rsidRPr="00A06C40">
        <w:rPr>
          <w:b/>
          <w:sz w:val="32"/>
          <w:szCs w:val="32"/>
        </w:rPr>
        <w:t>SOCIET</w:t>
      </w:r>
      <w:r w:rsidRPr="00A06C40">
        <w:rPr>
          <w:rFonts w:cs="Calibri"/>
          <w:b/>
          <w:sz w:val="32"/>
          <w:szCs w:val="32"/>
        </w:rPr>
        <w:t>À</w:t>
      </w:r>
      <w:r w:rsidRPr="00A06C40">
        <w:rPr>
          <w:b/>
          <w:sz w:val="32"/>
          <w:szCs w:val="32"/>
        </w:rPr>
        <w:t xml:space="preserve"> </w:t>
      </w:r>
      <w:proofErr w:type="spellStart"/>
      <w:r w:rsidRPr="00A06C40">
        <w:rPr>
          <w:b/>
          <w:sz w:val="32"/>
          <w:szCs w:val="32"/>
        </w:rPr>
        <w:t>DI</w:t>
      </w:r>
      <w:proofErr w:type="spellEnd"/>
      <w:r w:rsidRPr="00A06C40">
        <w:rPr>
          <w:b/>
          <w:sz w:val="32"/>
          <w:szCs w:val="32"/>
        </w:rPr>
        <w:t xml:space="preserve"> TERZA CATEGORIA</w:t>
      </w:r>
      <w:r w:rsidR="00A362D8">
        <w:rPr>
          <w:b/>
          <w:sz w:val="32"/>
          <w:szCs w:val="32"/>
        </w:rPr>
        <w:t xml:space="preserve"> S.S. </w:t>
      </w:r>
      <w:r w:rsidR="004B418A">
        <w:rPr>
          <w:b/>
          <w:sz w:val="32"/>
          <w:szCs w:val="32"/>
        </w:rPr>
        <w:t>2018/2019</w:t>
      </w:r>
    </w:p>
    <w:p w:rsidR="00A06C40" w:rsidRDefault="00A06C40" w:rsidP="00A06C40">
      <w:pPr>
        <w:spacing w:after="0"/>
        <w:rPr>
          <w:b/>
          <w:sz w:val="24"/>
        </w:rPr>
      </w:pPr>
    </w:p>
    <w:p w:rsidR="00A06C40" w:rsidRPr="00A06C40" w:rsidRDefault="00A06C40" w:rsidP="00A06C40">
      <w:pPr>
        <w:spacing w:after="0"/>
        <w:jc w:val="center"/>
        <w:rPr>
          <w:b/>
          <w:sz w:val="28"/>
          <w:szCs w:val="28"/>
          <w:u w:val="single"/>
        </w:rPr>
      </w:pPr>
      <w:r w:rsidRPr="00A06C40">
        <w:rPr>
          <w:b/>
          <w:sz w:val="28"/>
          <w:szCs w:val="28"/>
          <w:u w:val="single"/>
        </w:rPr>
        <w:t>REGOLAMENTO</w:t>
      </w:r>
    </w:p>
    <w:p w:rsidR="00A06C40" w:rsidRDefault="00A06C40" w:rsidP="00A06C40">
      <w:pPr>
        <w:spacing w:after="0"/>
        <w:rPr>
          <w:b/>
          <w:sz w:val="24"/>
          <w:szCs w:val="24"/>
          <w:u w:val="single"/>
        </w:rPr>
      </w:pPr>
    </w:p>
    <w:p w:rsidR="00A06C40" w:rsidRPr="00A06C40" w:rsidRDefault="00A06C40" w:rsidP="00A06C40">
      <w:pPr>
        <w:spacing w:after="0"/>
        <w:rPr>
          <w:b/>
          <w:sz w:val="24"/>
          <w:szCs w:val="24"/>
          <w:u w:val="single"/>
        </w:rPr>
      </w:pPr>
      <w:r w:rsidRPr="00A06C40">
        <w:rPr>
          <w:b/>
          <w:sz w:val="24"/>
          <w:szCs w:val="24"/>
          <w:u w:val="single"/>
        </w:rPr>
        <w:t>Art. 1 – Partecipazione delle squadre</w:t>
      </w:r>
    </w:p>
    <w:p w:rsidR="00A06C40" w:rsidRPr="00A06C40" w:rsidRDefault="00A06C40" w:rsidP="00A06C40">
      <w:pPr>
        <w:spacing w:after="0"/>
        <w:jc w:val="both"/>
        <w:rPr>
          <w:b/>
          <w:sz w:val="24"/>
          <w:szCs w:val="24"/>
        </w:rPr>
      </w:pPr>
      <w:r w:rsidRPr="00A06C40">
        <w:rPr>
          <w:sz w:val="24"/>
          <w:szCs w:val="24"/>
        </w:rPr>
        <w:t xml:space="preserve">Alla competizione sono iscritte d’ufficio tutte le squadre partecipanti al campionato di 3^ Categoria 2017/2018, </w:t>
      </w:r>
      <w:r w:rsidRPr="00A06C40">
        <w:rPr>
          <w:b/>
          <w:sz w:val="24"/>
          <w:szCs w:val="24"/>
        </w:rPr>
        <w:t xml:space="preserve">fatte salve quelle che avranno fatto espressa rinuncia scritta (mezzo fax </w:t>
      </w:r>
      <w:r>
        <w:rPr>
          <w:b/>
          <w:sz w:val="24"/>
          <w:szCs w:val="24"/>
        </w:rPr>
        <w:t xml:space="preserve">al 0861/243127 </w:t>
      </w:r>
      <w:r w:rsidRPr="00A06C40">
        <w:rPr>
          <w:b/>
          <w:sz w:val="24"/>
          <w:szCs w:val="24"/>
        </w:rPr>
        <w:t>o e</w:t>
      </w:r>
      <w:r w:rsidR="00545E41">
        <w:rPr>
          <w:b/>
          <w:sz w:val="24"/>
          <w:szCs w:val="24"/>
        </w:rPr>
        <w:t>-</w:t>
      </w:r>
      <w:r w:rsidRPr="00A06C40">
        <w:rPr>
          <w:b/>
          <w:sz w:val="24"/>
          <w:szCs w:val="24"/>
        </w:rPr>
        <w:t>mail</w:t>
      </w:r>
      <w:r>
        <w:rPr>
          <w:b/>
          <w:sz w:val="24"/>
          <w:szCs w:val="24"/>
        </w:rPr>
        <w:t xml:space="preserve"> cplnd.teramo@figc.it</w:t>
      </w:r>
      <w:r w:rsidRPr="00A06C40">
        <w:rPr>
          <w:b/>
          <w:sz w:val="24"/>
          <w:szCs w:val="24"/>
        </w:rPr>
        <w:t xml:space="preserve">) entro </w:t>
      </w:r>
      <w:r w:rsidR="004B418A">
        <w:rPr>
          <w:b/>
          <w:sz w:val="24"/>
          <w:szCs w:val="24"/>
        </w:rPr>
        <w:t>sabato 15</w:t>
      </w:r>
      <w:r>
        <w:rPr>
          <w:b/>
          <w:sz w:val="24"/>
          <w:szCs w:val="24"/>
        </w:rPr>
        <w:t xml:space="preserve"> settembre</w:t>
      </w:r>
      <w:r w:rsidR="004B418A">
        <w:rPr>
          <w:b/>
          <w:sz w:val="24"/>
          <w:szCs w:val="24"/>
        </w:rPr>
        <w:t xml:space="preserve"> 2018</w:t>
      </w:r>
      <w:r w:rsidRPr="00A06C40">
        <w:rPr>
          <w:b/>
          <w:sz w:val="24"/>
          <w:szCs w:val="24"/>
        </w:rPr>
        <w:t>.</w:t>
      </w:r>
    </w:p>
    <w:p w:rsidR="00A06C40" w:rsidRPr="00A06C40" w:rsidRDefault="00A06C40" w:rsidP="00A06C40">
      <w:pPr>
        <w:spacing w:after="0"/>
        <w:jc w:val="both"/>
        <w:rPr>
          <w:b/>
          <w:sz w:val="24"/>
          <w:szCs w:val="24"/>
        </w:rPr>
      </w:pPr>
    </w:p>
    <w:p w:rsidR="00A06C40" w:rsidRPr="00A06C40" w:rsidRDefault="00A06C40" w:rsidP="00A06C40">
      <w:pPr>
        <w:spacing w:after="0"/>
        <w:rPr>
          <w:b/>
          <w:sz w:val="24"/>
          <w:szCs w:val="24"/>
          <w:u w:val="single"/>
        </w:rPr>
      </w:pPr>
      <w:r w:rsidRPr="00A06C40">
        <w:rPr>
          <w:b/>
          <w:sz w:val="24"/>
          <w:szCs w:val="24"/>
          <w:u w:val="single"/>
        </w:rPr>
        <w:t>Art. 2 – Fasi</w:t>
      </w:r>
    </w:p>
    <w:p w:rsidR="00A06C40" w:rsidRPr="00A06C40" w:rsidRDefault="00A06C40" w:rsidP="00A06C40">
      <w:pPr>
        <w:pStyle w:val="Paragrafoelenco"/>
        <w:numPr>
          <w:ilvl w:val="0"/>
          <w:numId w:val="1"/>
        </w:numPr>
        <w:spacing w:after="0"/>
        <w:jc w:val="both"/>
        <w:rPr>
          <w:sz w:val="24"/>
          <w:szCs w:val="24"/>
        </w:rPr>
      </w:pPr>
      <w:r w:rsidRPr="00A06C40">
        <w:rPr>
          <w:sz w:val="24"/>
          <w:szCs w:val="24"/>
        </w:rPr>
        <w:t>Prima fase</w:t>
      </w:r>
    </w:p>
    <w:p w:rsidR="00A06C40" w:rsidRPr="00A06C40" w:rsidRDefault="00A06C40" w:rsidP="00A06C40">
      <w:pPr>
        <w:spacing w:after="0"/>
        <w:jc w:val="both"/>
        <w:rPr>
          <w:sz w:val="24"/>
          <w:szCs w:val="24"/>
        </w:rPr>
      </w:pPr>
      <w:r w:rsidRPr="00A06C40">
        <w:rPr>
          <w:sz w:val="24"/>
          <w:szCs w:val="24"/>
        </w:rPr>
        <w:t>Le società part</w:t>
      </w:r>
      <w:r>
        <w:rPr>
          <w:sz w:val="24"/>
          <w:szCs w:val="24"/>
        </w:rPr>
        <w:t>ecipanti saranno inserite in gi</w:t>
      </w:r>
      <w:r w:rsidRPr="00A06C40">
        <w:rPr>
          <w:sz w:val="24"/>
          <w:szCs w:val="24"/>
        </w:rPr>
        <w:t>r</w:t>
      </w:r>
      <w:r>
        <w:rPr>
          <w:sz w:val="24"/>
          <w:szCs w:val="24"/>
        </w:rPr>
        <w:t>o</w:t>
      </w:r>
      <w:r w:rsidRPr="00A06C40">
        <w:rPr>
          <w:sz w:val="24"/>
          <w:szCs w:val="24"/>
        </w:rPr>
        <w:t>ni formati con criteri</w:t>
      </w:r>
      <w:r>
        <w:rPr>
          <w:sz w:val="24"/>
          <w:szCs w:val="24"/>
        </w:rPr>
        <w:t>o</w:t>
      </w:r>
      <w:r w:rsidRPr="00A06C40">
        <w:rPr>
          <w:sz w:val="24"/>
          <w:szCs w:val="24"/>
        </w:rPr>
        <w:t xml:space="preserve"> di </w:t>
      </w:r>
      <w:r>
        <w:rPr>
          <w:sz w:val="24"/>
          <w:szCs w:val="24"/>
        </w:rPr>
        <w:t>vicinanza</w:t>
      </w:r>
      <w:r w:rsidRPr="00A06C40">
        <w:rPr>
          <w:sz w:val="24"/>
          <w:szCs w:val="24"/>
        </w:rPr>
        <w:t>, si affronteranno con gare di sola andata. Verranno attribuiti 3 punti per la vittoria, 1 punto per il pareggio, 0 per la sconfitta. Le società prime classificate dei rispettivi gironi accederanno alla seconda fase ad eliminazione diretta.</w:t>
      </w:r>
    </w:p>
    <w:p w:rsidR="00A06C40" w:rsidRDefault="00A06C40" w:rsidP="00A06C40">
      <w:pPr>
        <w:spacing w:after="0"/>
        <w:jc w:val="both"/>
        <w:rPr>
          <w:sz w:val="24"/>
          <w:szCs w:val="24"/>
        </w:rPr>
      </w:pPr>
      <w:r w:rsidRPr="00A06C40">
        <w:rPr>
          <w:sz w:val="24"/>
          <w:szCs w:val="24"/>
        </w:rPr>
        <w:t>In caso di parità di punteggio, per determinare i piazzamenti in classifica dei vari gironi si terrà conto delle seguenti priorità:</w:t>
      </w:r>
    </w:p>
    <w:p w:rsidR="00A06C40" w:rsidRPr="00A06C40" w:rsidRDefault="00A06C40" w:rsidP="00A06C40">
      <w:pPr>
        <w:spacing w:after="0"/>
        <w:jc w:val="both"/>
        <w:rPr>
          <w:sz w:val="24"/>
          <w:szCs w:val="24"/>
        </w:rPr>
      </w:pPr>
    </w:p>
    <w:p w:rsidR="00A06C40" w:rsidRPr="00A06C40" w:rsidRDefault="00A06C40" w:rsidP="00A06C40">
      <w:pPr>
        <w:pStyle w:val="Paragrafoelenco"/>
        <w:numPr>
          <w:ilvl w:val="0"/>
          <w:numId w:val="2"/>
        </w:numPr>
        <w:spacing w:after="0"/>
        <w:jc w:val="both"/>
        <w:rPr>
          <w:sz w:val="24"/>
          <w:szCs w:val="24"/>
        </w:rPr>
      </w:pPr>
      <w:r w:rsidRPr="00A06C40">
        <w:rPr>
          <w:sz w:val="24"/>
          <w:szCs w:val="24"/>
        </w:rPr>
        <w:t>Migliore differenza reti complessiva;</w:t>
      </w:r>
    </w:p>
    <w:p w:rsidR="00A06C40" w:rsidRPr="00A06C40" w:rsidRDefault="00A06C40" w:rsidP="00A06C40">
      <w:pPr>
        <w:pStyle w:val="Paragrafoelenco"/>
        <w:numPr>
          <w:ilvl w:val="0"/>
          <w:numId w:val="2"/>
        </w:numPr>
        <w:spacing w:after="0"/>
        <w:jc w:val="both"/>
        <w:rPr>
          <w:sz w:val="24"/>
          <w:szCs w:val="24"/>
        </w:rPr>
      </w:pPr>
      <w:r w:rsidRPr="00A06C40">
        <w:rPr>
          <w:sz w:val="24"/>
          <w:szCs w:val="24"/>
        </w:rPr>
        <w:t>Maggior numero di reti realizzate;</w:t>
      </w:r>
    </w:p>
    <w:p w:rsidR="00A06C40" w:rsidRPr="00A06C40" w:rsidRDefault="00A06C40" w:rsidP="00A06C40">
      <w:pPr>
        <w:pStyle w:val="Paragrafoelenco"/>
        <w:numPr>
          <w:ilvl w:val="0"/>
          <w:numId w:val="2"/>
        </w:numPr>
        <w:spacing w:after="0"/>
        <w:jc w:val="both"/>
        <w:rPr>
          <w:sz w:val="24"/>
          <w:szCs w:val="24"/>
        </w:rPr>
      </w:pPr>
      <w:r w:rsidRPr="00A06C40">
        <w:rPr>
          <w:sz w:val="24"/>
          <w:szCs w:val="24"/>
        </w:rPr>
        <w:t>Punteggio della classifica avulsa</w:t>
      </w:r>
    </w:p>
    <w:p w:rsidR="00A06C40" w:rsidRPr="00A06C40" w:rsidRDefault="00A06C40" w:rsidP="00A06C40">
      <w:pPr>
        <w:pStyle w:val="Paragrafoelenco"/>
        <w:numPr>
          <w:ilvl w:val="0"/>
          <w:numId w:val="2"/>
        </w:numPr>
        <w:spacing w:after="0"/>
        <w:jc w:val="both"/>
        <w:rPr>
          <w:sz w:val="24"/>
          <w:szCs w:val="24"/>
        </w:rPr>
      </w:pPr>
      <w:r w:rsidRPr="00A06C40">
        <w:rPr>
          <w:sz w:val="24"/>
          <w:szCs w:val="24"/>
        </w:rPr>
        <w:t>Miglior differenza reti classifica avulsa;</w:t>
      </w:r>
    </w:p>
    <w:p w:rsidR="00A06C40" w:rsidRPr="00A06C40" w:rsidRDefault="00A06C40" w:rsidP="00A06C40">
      <w:pPr>
        <w:pStyle w:val="Paragrafoelenco"/>
        <w:numPr>
          <w:ilvl w:val="0"/>
          <w:numId w:val="2"/>
        </w:numPr>
        <w:spacing w:after="0"/>
        <w:jc w:val="both"/>
        <w:rPr>
          <w:sz w:val="24"/>
          <w:szCs w:val="24"/>
        </w:rPr>
      </w:pPr>
      <w:r w:rsidRPr="00A06C40">
        <w:rPr>
          <w:sz w:val="24"/>
          <w:szCs w:val="24"/>
        </w:rPr>
        <w:t>Maggior numero di reti realizzate classifica avulsa</w:t>
      </w:r>
    </w:p>
    <w:p w:rsidR="00A06C40" w:rsidRPr="00A06C40" w:rsidRDefault="00A06C40" w:rsidP="00A06C40">
      <w:pPr>
        <w:pStyle w:val="Paragrafoelenco"/>
        <w:numPr>
          <w:ilvl w:val="0"/>
          <w:numId w:val="2"/>
        </w:numPr>
        <w:spacing w:after="0"/>
        <w:jc w:val="both"/>
        <w:rPr>
          <w:sz w:val="24"/>
          <w:szCs w:val="24"/>
        </w:rPr>
      </w:pPr>
      <w:r w:rsidRPr="00A06C40">
        <w:rPr>
          <w:sz w:val="24"/>
          <w:szCs w:val="24"/>
        </w:rPr>
        <w:t>Sorteggio</w:t>
      </w:r>
    </w:p>
    <w:p w:rsidR="00A06C40" w:rsidRDefault="00A06C40" w:rsidP="00A06C40">
      <w:pPr>
        <w:pStyle w:val="Paragrafoelenco"/>
        <w:spacing w:after="0"/>
        <w:ind w:left="1065"/>
        <w:jc w:val="both"/>
        <w:rPr>
          <w:sz w:val="24"/>
          <w:szCs w:val="24"/>
        </w:rPr>
      </w:pPr>
    </w:p>
    <w:p w:rsidR="00A06C40" w:rsidRPr="00A06C40" w:rsidRDefault="00A06C40" w:rsidP="00A06C40">
      <w:pPr>
        <w:pStyle w:val="Paragrafoelenco"/>
        <w:numPr>
          <w:ilvl w:val="0"/>
          <w:numId w:val="1"/>
        </w:numPr>
        <w:spacing w:after="0"/>
        <w:jc w:val="both"/>
        <w:rPr>
          <w:sz w:val="24"/>
          <w:szCs w:val="24"/>
        </w:rPr>
      </w:pPr>
      <w:r w:rsidRPr="00A06C40">
        <w:rPr>
          <w:sz w:val="24"/>
          <w:szCs w:val="24"/>
        </w:rPr>
        <w:t>Seconda fase</w:t>
      </w:r>
    </w:p>
    <w:p w:rsidR="00D4213A" w:rsidRDefault="00A06C40" w:rsidP="00A06C40">
      <w:pPr>
        <w:spacing w:after="0"/>
        <w:jc w:val="both"/>
        <w:rPr>
          <w:sz w:val="24"/>
          <w:szCs w:val="24"/>
        </w:rPr>
      </w:pPr>
      <w:r w:rsidRPr="00A06C40">
        <w:rPr>
          <w:sz w:val="24"/>
          <w:szCs w:val="24"/>
        </w:rPr>
        <w:t>Le squadre vincitrici dei rispettivi gironi si inco</w:t>
      </w:r>
      <w:r w:rsidR="000B41D9">
        <w:rPr>
          <w:sz w:val="24"/>
          <w:szCs w:val="24"/>
        </w:rPr>
        <w:t xml:space="preserve">ntreranno in </w:t>
      </w:r>
      <w:r w:rsidR="00D4213A">
        <w:rPr>
          <w:sz w:val="24"/>
          <w:szCs w:val="24"/>
        </w:rPr>
        <w:t>gare di semifinale</w:t>
      </w:r>
      <w:r w:rsidR="000B41D9">
        <w:rPr>
          <w:sz w:val="24"/>
          <w:szCs w:val="24"/>
        </w:rPr>
        <w:t xml:space="preserve"> e finale con incontri di solo andata</w:t>
      </w:r>
      <w:r w:rsidRPr="00A06C40">
        <w:rPr>
          <w:sz w:val="24"/>
          <w:szCs w:val="24"/>
        </w:rPr>
        <w:t>.</w:t>
      </w:r>
      <w:r w:rsidR="00D4213A">
        <w:rPr>
          <w:sz w:val="24"/>
          <w:szCs w:val="24"/>
        </w:rPr>
        <w:t xml:space="preserve"> </w:t>
      </w:r>
    </w:p>
    <w:p w:rsidR="00A06C40" w:rsidRDefault="00D4213A" w:rsidP="00A06C40">
      <w:pPr>
        <w:spacing w:after="0"/>
        <w:jc w:val="both"/>
        <w:rPr>
          <w:sz w:val="24"/>
          <w:szCs w:val="24"/>
        </w:rPr>
      </w:pPr>
      <w:r>
        <w:rPr>
          <w:sz w:val="24"/>
          <w:szCs w:val="24"/>
        </w:rPr>
        <w:t>Gli accoppiamenti per le gare di semifinale saranno determinati tramite sorteggio.</w:t>
      </w:r>
    </w:p>
    <w:p w:rsidR="00D4213A" w:rsidRPr="00A06C40" w:rsidRDefault="00D4213A" w:rsidP="00A06C40">
      <w:pPr>
        <w:spacing w:after="0"/>
        <w:jc w:val="both"/>
        <w:rPr>
          <w:sz w:val="24"/>
          <w:szCs w:val="24"/>
        </w:rPr>
      </w:pPr>
      <w:r>
        <w:rPr>
          <w:sz w:val="24"/>
          <w:szCs w:val="24"/>
        </w:rPr>
        <w:t>La finale sarà giocata in campo neutro.</w:t>
      </w:r>
    </w:p>
    <w:p w:rsidR="00A06C40" w:rsidRPr="00A06C40" w:rsidRDefault="00A06C40" w:rsidP="00A06C40">
      <w:pPr>
        <w:spacing w:after="0"/>
        <w:jc w:val="both"/>
        <w:rPr>
          <w:sz w:val="24"/>
          <w:szCs w:val="24"/>
        </w:rPr>
      </w:pPr>
    </w:p>
    <w:p w:rsidR="004B418A" w:rsidRDefault="004B418A" w:rsidP="00A06C40">
      <w:pPr>
        <w:spacing w:after="0"/>
        <w:rPr>
          <w:b/>
          <w:sz w:val="24"/>
          <w:szCs w:val="24"/>
          <w:u w:val="single"/>
        </w:rPr>
      </w:pPr>
    </w:p>
    <w:p w:rsidR="00D4213A" w:rsidRDefault="00D4213A" w:rsidP="00A06C40">
      <w:pPr>
        <w:spacing w:after="0"/>
        <w:rPr>
          <w:b/>
          <w:sz w:val="24"/>
          <w:szCs w:val="24"/>
          <w:u w:val="single"/>
        </w:rPr>
      </w:pPr>
    </w:p>
    <w:p w:rsidR="00D4213A" w:rsidRDefault="00D4213A" w:rsidP="00A06C40">
      <w:pPr>
        <w:spacing w:after="0"/>
        <w:rPr>
          <w:b/>
          <w:sz w:val="24"/>
          <w:szCs w:val="24"/>
          <w:u w:val="single"/>
        </w:rPr>
      </w:pPr>
    </w:p>
    <w:p w:rsidR="00D4213A" w:rsidRDefault="00D4213A" w:rsidP="00A06C40">
      <w:pPr>
        <w:spacing w:after="0"/>
        <w:rPr>
          <w:b/>
          <w:sz w:val="24"/>
          <w:szCs w:val="24"/>
          <w:u w:val="single"/>
        </w:rPr>
      </w:pPr>
    </w:p>
    <w:p w:rsidR="00A06C40" w:rsidRPr="00A06C40" w:rsidRDefault="00A06C40" w:rsidP="00A06C40">
      <w:pPr>
        <w:spacing w:after="0"/>
        <w:rPr>
          <w:b/>
          <w:sz w:val="24"/>
          <w:szCs w:val="24"/>
          <w:u w:val="single"/>
        </w:rPr>
      </w:pPr>
      <w:r w:rsidRPr="00A06C40">
        <w:rPr>
          <w:b/>
          <w:sz w:val="24"/>
          <w:szCs w:val="24"/>
          <w:u w:val="single"/>
        </w:rPr>
        <w:lastRenderedPageBreak/>
        <w:t>Art. 3 – Rinuncia alla gara – Esclusione dal torneo</w:t>
      </w:r>
    </w:p>
    <w:p w:rsidR="00A06C40" w:rsidRPr="00A06C40" w:rsidRDefault="00A06C40" w:rsidP="00F64935">
      <w:pPr>
        <w:spacing w:after="0"/>
        <w:jc w:val="both"/>
        <w:rPr>
          <w:sz w:val="24"/>
          <w:szCs w:val="24"/>
        </w:rPr>
      </w:pPr>
      <w:r w:rsidRPr="00A06C40">
        <w:rPr>
          <w:sz w:val="24"/>
          <w:szCs w:val="24"/>
        </w:rPr>
        <w:t xml:space="preserve">Nel caso in cui una società rinunci, per qualsiasi motivo, alla disputa di una gara, </w:t>
      </w:r>
      <w:r w:rsidR="00F64935">
        <w:rPr>
          <w:sz w:val="24"/>
          <w:szCs w:val="24"/>
        </w:rPr>
        <w:t>la stessa verrà esclusa dal proseguimento della manifestazione</w:t>
      </w:r>
      <w:r w:rsidRPr="00A06C40">
        <w:rPr>
          <w:sz w:val="24"/>
          <w:szCs w:val="24"/>
        </w:rPr>
        <w:t>.</w:t>
      </w:r>
    </w:p>
    <w:p w:rsidR="00A06C40" w:rsidRDefault="00A06C40" w:rsidP="00A06C40">
      <w:pPr>
        <w:spacing w:after="0"/>
        <w:jc w:val="both"/>
        <w:rPr>
          <w:sz w:val="24"/>
          <w:szCs w:val="24"/>
        </w:rPr>
      </w:pPr>
    </w:p>
    <w:p w:rsidR="00A06C40" w:rsidRPr="00A06C40" w:rsidRDefault="00A06C40" w:rsidP="00A06C40">
      <w:pPr>
        <w:spacing w:after="0"/>
        <w:rPr>
          <w:b/>
          <w:sz w:val="24"/>
          <w:szCs w:val="24"/>
          <w:u w:val="single"/>
        </w:rPr>
      </w:pPr>
      <w:r w:rsidRPr="00A06C40">
        <w:rPr>
          <w:b/>
          <w:sz w:val="24"/>
          <w:szCs w:val="24"/>
          <w:u w:val="single"/>
        </w:rPr>
        <w:t>Art. 4 – Impiego dei calciatori</w:t>
      </w:r>
    </w:p>
    <w:p w:rsidR="00A06C40" w:rsidRPr="00A06C40" w:rsidRDefault="00A06C40" w:rsidP="00A06C40">
      <w:pPr>
        <w:spacing w:after="0"/>
        <w:jc w:val="both"/>
        <w:rPr>
          <w:sz w:val="24"/>
          <w:szCs w:val="24"/>
        </w:rPr>
      </w:pPr>
      <w:r w:rsidRPr="00A06C40">
        <w:rPr>
          <w:sz w:val="24"/>
          <w:szCs w:val="24"/>
        </w:rPr>
        <w:t xml:space="preserve">Alle gare possono partecipare i calciatori tesserati per le rispettive società, che abbiano compiuto anagraficamente il 15° anno di età nel rispetto di quanto previsto dall’art. 34 comma 3 delle </w:t>
      </w:r>
      <w:proofErr w:type="spellStart"/>
      <w:r w:rsidRPr="00A06C40">
        <w:rPr>
          <w:sz w:val="24"/>
          <w:szCs w:val="24"/>
        </w:rPr>
        <w:t>N.O.I.F.</w:t>
      </w:r>
      <w:proofErr w:type="spellEnd"/>
    </w:p>
    <w:p w:rsidR="00A06C40" w:rsidRPr="00A06C40" w:rsidRDefault="00A06C40" w:rsidP="00A06C40">
      <w:pPr>
        <w:spacing w:after="0"/>
        <w:jc w:val="both"/>
        <w:rPr>
          <w:sz w:val="24"/>
          <w:szCs w:val="24"/>
        </w:rPr>
      </w:pPr>
      <w:r w:rsidRPr="00A06C40">
        <w:rPr>
          <w:sz w:val="24"/>
          <w:szCs w:val="24"/>
        </w:rPr>
        <w:t>Possono essere sostituiti nel corso della gara, indipendentemente dal ruolo, fino ad un massimo di cinque calciatori. Le società possono indicare nella distinta da presentare all’arbitro fino ad un massimo di sette calciatori di riserva.</w:t>
      </w:r>
    </w:p>
    <w:p w:rsidR="00A06C40" w:rsidRPr="00A06C40" w:rsidRDefault="00A06C40" w:rsidP="00A06C40">
      <w:pPr>
        <w:spacing w:after="0"/>
        <w:jc w:val="both"/>
        <w:rPr>
          <w:sz w:val="24"/>
          <w:szCs w:val="24"/>
        </w:rPr>
      </w:pPr>
    </w:p>
    <w:p w:rsidR="00A06C40" w:rsidRPr="00A06C40" w:rsidRDefault="00A06C40" w:rsidP="00A06C40">
      <w:pPr>
        <w:spacing w:after="0"/>
        <w:rPr>
          <w:b/>
          <w:sz w:val="24"/>
          <w:szCs w:val="24"/>
          <w:u w:val="single"/>
        </w:rPr>
      </w:pPr>
      <w:r w:rsidRPr="00A06C40">
        <w:rPr>
          <w:b/>
          <w:sz w:val="24"/>
          <w:szCs w:val="24"/>
          <w:u w:val="single"/>
        </w:rPr>
        <w:t>Art. 5 – Tempo delle gare e disputa delle stesse</w:t>
      </w:r>
    </w:p>
    <w:p w:rsidR="00A06C40" w:rsidRPr="00A06C40" w:rsidRDefault="00A06C40" w:rsidP="00A06C40">
      <w:pPr>
        <w:spacing w:after="0"/>
        <w:jc w:val="both"/>
        <w:rPr>
          <w:sz w:val="24"/>
          <w:szCs w:val="24"/>
        </w:rPr>
      </w:pPr>
      <w:r w:rsidRPr="00A06C40">
        <w:rPr>
          <w:sz w:val="24"/>
          <w:szCs w:val="24"/>
        </w:rPr>
        <w:t>Le gare avranno durata di 90’ suddivisi in due tempi di 45’ cadauno.</w:t>
      </w:r>
    </w:p>
    <w:p w:rsidR="00A06C40" w:rsidRPr="00A06C40" w:rsidRDefault="00A06C40" w:rsidP="00A06C40">
      <w:pPr>
        <w:spacing w:after="0"/>
        <w:jc w:val="both"/>
        <w:rPr>
          <w:sz w:val="24"/>
          <w:szCs w:val="24"/>
        </w:rPr>
      </w:pPr>
      <w:r w:rsidRPr="00A06C40">
        <w:rPr>
          <w:sz w:val="24"/>
          <w:szCs w:val="24"/>
        </w:rPr>
        <w:t>Le gare di qualificazione saranno disputate secondo un calendario che verrà predisposto dalla delegazione provinciale.</w:t>
      </w:r>
    </w:p>
    <w:p w:rsidR="00A06C40" w:rsidRPr="00A06C40" w:rsidRDefault="00A06C40" w:rsidP="00A06C40">
      <w:pPr>
        <w:spacing w:after="0"/>
        <w:jc w:val="both"/>
        <w:rPr>
          <w:sz w:val="24"/>
          <w:szCs w:val="24"/>
        </w:rPr>
      </w:pPr>
      <w:r w:rsidRPr="00A06C40">
        <w:rPr>
          <w:sz w:val="24"/>
          <w:szCs w:val="24"/>
        </w:rPr>
        <w:t>Eventuali richieste di spostamento di campo, di data, di orario dovranno pervenire a mezzo fax o e</w:t>
      </w:r>
      <w:r w:rsidR="00545E41">
        <w:rPr>
          <w:sz w:val="24"/>
          <w:szCs w:val="24"/>
        </w:rPr>
        <w:t>-</w:t>
      </w:r>
      <w:r w:rsidRPr="00A06C40">
        <w:rPr>
          <w:sz w:val="24"/>
          <w:szCs w:val="24"/>
        </w:rPr>
        <w:t>mail, direttamente alla delegazione provinciale, almeno cinque giorni prima della disputa della gara, unitamente al benestare della società interessata (per i cambi di data e orario).</w:t>
      </w:r>
    </w:p>
    <w:p w:rsidR="00A06C40" w:rsidRPr="00A06C40" w:rsidRDefault="00A06C40" w:rsidP="00A06C40">
      <w:pPr>
        <w:spacing w:after="0"/>
        <w:jc w:val="both"/>
        <w:rPr>
          <w:sz w:val="24"/>
          <w:szCs w:val="24"/>
        </w:rPr>
      </w:pPr>
    </w:p>
    <w:p w:rsidR="00A06C40" w:rsidRPr="00A06C40" w:rsidRDefault="00A06C40" w:rsidP="00A06C40">
      <w:pPr>
        <w:spacing w:after="0"/>
        <w:rPr>
          <w:b/>
          <w:sz w:val="24"/>
          <w:szCs w:val="24"/>
          <w:u w:val="single"/>
        </w:rPr>
      </w:pPr>
      <w:r w:rsidRPr="00A06C40">
        <w:rPr>
          <w:b/>
          <w:sz w:val="24"/>
          <w:szCs w:val="24"/>
          <w:u w:val="single"/>
        </w:rPr>
        <w:t>Art. 6 – Tassa d’iscrizione</w:t>
      </w:r>
    </w:p>
    <w:p w:rsidR="00A06C40" w:rsidRPr="00A06C40" w:rsidRDefault="00A06C40" w:rsidP="00A06C40">
      <w:pPr>
        <w:spacing w:after="0"/>
        <w:jc w:val="both"/>
        <w:rPr>
          <w:sz w:val="24"/>
          <w:szCs w:val="24"/>
        </w:rPr>
      </w:pPr>
      <w:r w:rsidRPr="00A06C40">
        <w:rPr>
          <w:sz w:val="24"/>
          <w:szCs w:val="24"/>
        </w:rPr>
        <w:t>Ogni società partecipante dovrà versare la tassa di partecipazione di € 25,00</w:t>
      </w:r>
    </w:p>
    <w:p w:rsidR="00A06C40" w:rsidRPr="00A06C40" w:rsidRDefault="00A06C40" w:rsidP="00A06C40">
      <w:pPr>
        <w:spacing w:after="0"/>
        <w:jc w:val="both"/>
        <w:rPr>
          <w:sz w:val="24"/>
          <w:szCs w:val="24"/>
        </w:rPr>
      </w:pPr>
    </w:p>
    <w:p w:rsidR="00A06C40" w:rsidRPr="00A06C40" w:rsidRDefault="00A06C40" w:rsidP="00A06C40">
      <w:pPr>
        <w:spacing w:after="0"/>
        <w:rPr>
          <w:b/>
          <w:sz w:val="24"/>
          <w:szCs w:val="24"/>
          <w:u w:val="single"/>
        </w:rPr>
      </w:pPr>
      <w:r w:rsidRPr="00A06C40">
        <w:rPr>
          <w:b/>
          <w:sz w:val="24"/>
          <w:szCs w:val="24"/>
          <w:u w:val="single"/>
        </w:rPr>
        <w:t>Art. 7 – Arbitri delle gare</w:t>
      </w:r>
    </w:p>
    <w:p w:rsidR="00A06C40" w:rsidRPr="00A06C40" w:rsidRDefault="00A06C40" w:rsidP="00A06C40">
      <w:pPr>
        <w:spacing w:after="0"/>
        <w:jc w:val="both"/>
        <w:rPr>
          <w:sz w:val="24"/>
          <w:szCs w:val="24"/>
        </w:rPr>
      </w:pPr>
      <w:r w:rsidRPr="00A06C40">
        <w:rPr>
          <w:sz w:val="24"/>
          <w:szCs w:val="24"/>
        </w:rPr>
        <w:t>La designazione degli ufficiali di gara sarà a cura della Sezione A.I.A. provinciale.</w:t>
      </w:r>
    </w:p>
    <w:p w:rsidR="00A06C40" w:rsidRDefault="00A06C40" w:rsidP="00A06C40">
      <w:pPr>
        <w:spacing w:after="0"/>
        <w:rPr>
          <w:b/>
          <w:sz w:val="24"/>
          <w:szCs w:val="24"/>
          <w:u w:val="single"/>
        </w:rPr>
      </w:pPr>
    </w:p>
    <w:p w:rsidR="00A06C40" w:rsidRPr="00A06C40" w:rsidRDefault="00A06C40" w:rsidP="00A06C40">
      <w:pPr>
        <w:spacing w:after="0"/>
        <w:rPr>
          <w:b/>
          <w:sz w:val="24"/>
          <w:szCs w:val="24"/>
          <w:u w:val="single"/>
        </w:rPr>
      </w:pPr>
      <w:r w:rsidRPr="00A06C40">
        <w:rPr>
          <w:b/>
          <w:sz w:val="24"/>
          <w:szCs w:val="24"/>
          <w:u w:val="single"/>
        </w:rPr>
        <w:t>Art. 8 – Disciplina sportiva</w:t>
      </w:r>
    </w:p>
    <w:p w:rsidR="00A06C40" w:rsidRPr="00A06C40" w:rsidRDefault="00A06C40" w:rsidP="00A06C40">
      <w:pPr>
        <w:spacing w:after="0"/>
        <w:jc w:val="both"/>
        <w:rPr>
          <w:sz w:val="24"/>
          <w:szCs w:val="24"/>
        </w:rPr>
      </w:pPr>
      <w:r w:rsidRPr="00A06C40">
        <w:rPr>
          <w:sz w:val="24"/>
          <w:szCs w:val="24"/>
        </w:rPr>
        <w:t>La disciplina della competizione, demandata agli Organi Disciplinari Provinciali/Distrettuali, sarà gestita in ossequio a quanto disposto dagli artt. 44,45,46 del vigente Codice di Giustizia Sportiva.</w:t>
      </w:r>
    </w:p>
    <w:p w:rsidR="00A06C40" w:rsidRPr="00A06C40" w:rsidRDefault="00A06C40" w:rsidP="00A06C40">
      <w:pPr>
        <w:spacing w:after="0"/>
        <w:jc w:val="both"/>
        <w:rPr>
          <w:sz w:val="24"/>
          <w:szCs w:val="24"/>
        </w:rPr>
      </w:pPr>
      <w:r w:rsidRPr="00A06C40">
        <w:rPr>
          <w:sz w:val="24"/>
          <w:szCs w:val="24"/>
        </w:rPr>
        <w:t>La F.I.G.C. con Comunicato 178/A ha disposto che i procedimenti d’ufficio o introdotti ai sensi dell’art. 29 commi 3, 5 e 7 del C.G.S., i cui esiti possono avere incidenza sul risultato delle gare di cui premessa, si svolgano con le seguenti modalità procedurali e nei termini abbreviati come segue:</w:t>
      </w:r>
    </w:p>
    <w:p w:rsidR="00A06C40" w:rsidRDefault="00A06C40" w:rsidP="00A06C40">
      <w:pPr>
        <w:pStyle w:val="Paragrafoelenco"/>
        <w:numPr>
          <w:ilvl w:val="0"/>
          <w:numId w:val="3"/>
        </w:numPr>
        <w:spacing w:after="0"/>
        <w:jc w:val="both"/>
        <w:rPr>
          <w:sz w:val="24"/>
          <w:szCs w:val="24"/>
        </w:rPr>
      </w:pPr>
      <w:r w:rsidRPr="00A06C40">
        <w:rPr>
          <w:sz w:val="24"/>
          <w:szCs w:val="24"/>
        </w:rPr>
        <w:t xml:space="preserve">Gli eventuali reclami, a norma dell’art. 29 comma 4 lettera b); comma 6 lettera b); comma 8 lettera b) C.G.S. dovranno essere proposti e pervenire, con le relative motivazioni, entro le ore 12 del giorno successivo a quello di effettuazione della gara, le eventuali </w:t>
      </w:r>
      <w:r w:rsidRPr="00A06C40">
        <w:rPr>
          <w:sz w:val="24"/>
          <w:szCs w:val="24"/>
        </w:rPr>
        <w:lastRenderedPageBreak/>
        <w:t>controdeduzioni dovranno pervenire entro le ore 12 del giorno successivo al ricevimento dei motivi del reclamo.</w:t>
      </w:r>
    </w:p>
    <w:p w:rsidR="000B41D9" w:rsidRDefault="000B41D9" w:rsidP="000B41D9">
      <w:pPr>
        <w:pStyle w:val="Paragrafoelenco"/>
        <w:spacing w:after="0"/>
        <w:jc w:val="both"/>
        <w:rPr>
          <w:sz w:val="24"/>
          <w:szCs w:val="24"/>
        </w:rPr>
      </w:pPr>
    </w:p>
    <w:p w:rsidR="000B41D9" w:rsidRPr="00A06C40" w:rsidRDefault="000B41D9" w:rsidP="000B41D9">
      <w:pPr>
        <w:pStyle w:val="Paragrafoelenco"/>
        <w:numPr>
          <w:ilvl w:val="0"/>
          <w:numId w:val="3"/>
        </w:numPr>
        <w:spacing w:after="0"/>
        <w:jc w:val="both"/>
        <w:rPr>
          <w:sz w:val="24"/>
          <w:szCs w:val="24"/>
        </w:rPr>
      </w:pPr>
      <w:r w:rsidRPr="00A06C40">
        <w:rPr>
          <w:sz w:val="24"/>
          <w:szCs w:val="24"/>
        </w:rPr>
        <w:t>Gli eventuali reclami alla Corte Sportiva di Appello a livello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 L’eventuale controparte – ove lo ritenga – potrà far pervenire a mezzo telefax o altro mezzo idoneo, le proprie deduzioni presso la sede dello stesso Comitato Regionale entro le ore 12.00 del giorno successivo alla data di ricezione del reclamo.</w:t>
      </w:r>
    </w:p>
    <w:p w:rsidR="000B41D9" w:rsidRPr="00A06C40" w:rsidRDefault="000B41D9" w:rsidP="000B41D9">
      <w:pPr>
        <w:spacing w:after="0"/>
        <w:jc w:val="both"/>
        <w:rPr>
          <w:sz w:val="24"/>
          <w:szCs w:val="24"/>
        </w:rPr>
      </w:pPr>
      <w:r w:rsidRPr="00A06C40">
        <w:rPr>
          <w:sz w:val="24"/>
          <w:szCs w:val="24"/>
        </w:rPr>
        <w:t>Tutte le altre norme modali e procedurali non vengono modificate dall’emanazione del presente provvedimento.</w:t>
      </w:r>
    </w:p>
    <w:p w:rsidR="000B41D9" w:rsidRPr="00A06C40" w:rsidRDefault="000B41D9" w:rsidP="000B41D9">
      <w:pPr>
        <w:spacing w:after="0"/>
        <w:jc w:val="both"/>
        <w:rPr>
          <w:sz w:val="24"/>
          <w:szCs w:val="24"/>
        </w:rPr>
      </w:pPr>
    </w:p>
    <w:p w:rsidR="000B41D9" w:rsidRPr="00A06C40" w:rsidRDefault="000B41D9" w:rsidP="000B41D9">
      <w:pPr>
        <w:spacing w:after="0"/>
        <w:jc w:val="both"/>
        <w:rPr>
          <w:sz w:val="24"/>
          <w:szCs w:val="24"/>
        </w:rPr>
      </w:pPr>
      <w:r w:rsidRPr="00A06C40">
        <w:rPr>
          <w:sz w:val="24"/>
          <w:szCs w:val="24"/>
        </w:rPr>
        <w:t xml:space="preserve">I provvedimenti disciplinari adottati che comportino squalifiche a carico di tesserati, per una o più giornate, dovranno essere scontate </w:t>
      </w:r>
      <w:r w:rsidRPr="00A06C40">
        <w:rPr>
          <w:sz w:val="24"/>
          <w:szCs w:val="24"/>
          <w:u w:val="single"/>
        </w:rPr>
        <w:t>solo ed esclusivamente nell’ambito delle gare del torneo stesso.</w:t>
      </w:r>
      <w:r w:rsidRPr="00A06C40">
        <w:rPr>
          <w:sz w:val="24"/>
          <w:szCs w:val="24"/>
        </w:rPr>
        <w:t xml:space="preserve"> (Art. 19 punto 11 sub. 1 del C.G.S.)</w:t>
      </w:r>
    </w:p>
    <w:p w:rsidR="000B41D9" w:rsidRPr="00A06C40" w:rsidRDefault="000B41D9" w:rsidP="000B41D9">
      <w:pPr>
        <w:spacing w:after="0"/>
        <w:jc w:val="both"/>
        <w:rPr>
          <w:sz w:val="24"/>
          <w:szCs w:val="24"/>
        </w:rPr>
      </w:pPr>
      <w:r w:rsidRPr="00A06C40">
        <w:rPr>
          <w:sz w:val="24"/>
          <w:szCs w:val="24"/>
        </w:rPr>
        <w:t>I calciatori incorrono nella squalifica di una giornata per recidività ogni due ammonizioni. (Art. 19 punto 11 sub. 2 del C.G.S.)</w:t>
      </w:r>
    </w:p>
    <w:p w:rsidR="000B41D9" w:rsidRPr="00A06C40" w:rsidRDefault="000B41D9" w:rsidP="000B41D9">
      <w:pPr>
        <w:spacing w:after="0"/>
        <w:jc w:val="both"/>
        <w:rPr>
          <w:sz w:val="24"/>
          <w:szCs w:val="24"/>
        </w:rPr>
      </w:pPr>
      <w:r w:rsidRPr="00A06C40">
        <w:rPr>
          <w:sz w:val="24"/>
          <w:szCs w:val="24"/>
        </w:rPr>
        <w:t>Nell’accesso alla seconda fase il conto delle ammonizioni viene azzerato.</w:t>
      </w:r>
    </w:p>
    <w:p w:rsidR="000B41D9" w:rsidRPr="00A06C40" w:rsidRDefault="000B41D9" w:rsidP="000B41D9">
      <w:pPr>
        <w:spacing w:after="0"/>
        <w:jc w:val="both"/>
        <w:rPr>
          <w:sz w:val="24"/>
          <w:szCs w:val="24"/>
        </w:rPr>
      </w:pPr>
    </w:p>
    <w:p w:rsidR="000B41D9" w:rsidRPr="00A06C40" w:rsidRDefault="000B41D9" w:rsidP="000B41D9">
      <w:pPr>
        <w:spacing w:after="0"/>
        <w:rPr>
          <w:b/>
          <w:sz w:val="24"/>
          <w:szCs w:val="24"/>
          <w:u w:val="single"/>
        </w:rPr>
      </w:pPr>
      <w:r w:rsidRPr="00A06C40">
        <w:rPr>
          <w:b/>
          <w:sz w:val="24"/>
          <w:szCs w:val="24"/>
          <w:u w:val="single"/>
        </w:rPr>
        <w:t>Art. 9 – Altre norme regolamentari</w:t>
      </w:r>
    </w:p>
    <w:p w:rsidR="000B41D9" w:rsidRPr="00A06C40" w:rsidRDefault="000B41D9" w:rsidP="000B41D9">
      <w:pPr>
        <w:spacing w:after="0"/>
        <w:jc w:val="both"/>
        <w:rPr>
          <w:sz w:val="24"/>
          <w:szCs w:val="24"/>
        </w:rPr>
      </w:pPr>
      <w:r w:rsidRPr="00A06C40">
        <w:rPr>
          <w:sz w:val="24"/>
          <w:szCs w:val="24"/>
        </w:rPr>
        <w:t xml:space="preserve">Per quanto non previsto nel presente regolamento si fa espresso richiamo agli articoli delle Norme Organizzative della F.I.G.C., del Codice di Giustizia e del Regolamento della </w:t>
      </w:r>
      <w:proofErr w:type="spellStart"/>
      <w:r w:rsidRPr="00A06C40">
        <w:rPr>
          <w:sz w:val="24"/>
          <w:szCs w:val="24"/>
        </w:rPr>
        <w:t>L.N.D.</w:t>
      </w:r>
      <w:proofErr w:type="spellEnd"/>
    </w:p>
    <w:p w:rsidR="000B41D9" w:rsidRPr="00A06C40" w:rsidRDefault="000B41D9" w:rsidP="000B41D9">
      <w:pPr>
        <w:rPr>
          <w:sz w:val="24"/>
          <w:szCs w:val="24"/>
        </w:rPr>
      </w:pPr>
    </w:p>
    <w:p w:rsidR="000B41D9" w:rsidRPr="00A06C40" w:rsidRDefault="000B41D9" w:rsidP="000B41D9">
      <w:pPr>
        <w:pStyle w:val="Paragrafoelenco"/>
        <w:spacing w:after="0"/>
        <w:jc w:val="both"/>
        <w:rPr>
          <w:sz w:val="24"/>
          <w:szCs w:val="24"/>
        </w:rPr>
      </w:pPr>
    </w:p>
    <w:sectPr w:rsidR="000B41D9" w:rsidRPr="00A06C40" w:rsidSect="007E4AB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BE" w:rsidRDefault="00EC50BE" w:rsidP="007E5BBF">
      <w:pPr>
        <w:spacing w:after="0" w:line="240" w:lineRule="auto"/>
      </w:pPr>
      <w:r>
        <w:separator/>
      </w:r>
    </w:p>
  </w:endnote>
  <w:endnote w:type="continuationSeparator" w:id="0">
    <w:p w:rsidR="00EC50BE" w:rsidRDefault="00EC50BE" w:rsidP="007E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778"/>
    </w:tblGrid>
    <w:tr w:rsidR="00EC54EC" w:rsidRPr="008E08D2" w:rsidTr="008E08D2">
      <w:tc>
        <w:tcPr>
          <w:tcW w:w="9778" w:type="dxa"/>
        </w:tcPr>
        <w:p w:rsidR="00EC54EC" w:rsidRPr="008E08D2" w:rsidRDefault="00EC54EC" w:rsidP="008E08D2">
          <w:pPr>
            <w:pStyle w:val="Pidipagina"/>
            <w:jc w:val="center"/>
            <w:rPr>
              <w:sz w:val="20"/>
              <w:szCs w:val="20"/>
            </w:rPr>
          </w:pPr>
          <w:r w:rsidRPr="008E08D2">
            <w:rPr>
              <w:rFonts w:ascii="Tahoma" w:hAnsi="Tahoma" w:cs="Tahoma"/>
              <w:sz w:val="20"/>
              <w:szCs w:val="20"/>
            </w:rPr>
            <w:t xml:space="preserve">Via Porta </w:t>
          </w:r>
          <w:proofErr w:type="spellStart"/>
          <w:r w:rsidRPr="008E08D2">
            <w:rPr>
              <w:rFonts w:ascii="Tahoma" w:hAnsi="Tahoma" w:cs="Tahoma"/>
              <w:sz w:val="20"/>
              <w:szCs w:val="20"/>
            </w:rPr>
            <w:t>Carrese</w:t>
          </w:r>
          <w:proofErr w:type="spellEnd"/>
          <w:r w:rsidRPr="008E08D2">
            <w:rPr>
              <w:rFonts w:ascii="Tahoma" w:hAnsi="Tahoma" w:cs="Tahoma"/>
              <w:sz w:val="20"/>
              <w:szCs w:val="20"/>
            </w:rPr>
            <w:t>, 45  –  64100 TERAMO –  Tel. 0861/252010  fax 0861/243127</w:t>
          </w:r>
        </w:p>
      </w:tc>
    </w:tr>
    <w:tr w:rsidR="00EC54EC" w:rsidRPr="008E08D2" w:rsidTr="008E08D2">
      <w:tc>
        <w:tcPr>
          <w:tcW w:w="9778" w:type="dxa"/>
        </w:tcPr>
        <w:p w:rsidR="00EC54EC" w:rsidRPr="008E08D2" w:rsidRDefault="00EC54EC" w:rsidP="008E08D2">
          <w:pPr>
            <w:pStyle w:val="Pidipagina"/>
            <w:jc w:val="center"/>
            <w:rPr>
              <w:color w:val="000000"/>
              <w:sz w:val="20"/>
              <w:szCs w:val="20"/>
            </w:rPr>
          </w:pPr>
          <w:r w:rsidRPr="008E08D2">
            <w:rPr>
              <w:rFonts w:ascii="Tahoma" w:hAnsi="Tahoma" w:cs="Tahoma"/>
              <w:color w:val="000000"/>
              <w:sz w:val="20"/>
              <w:szCs w:val="20"/>
            </w:rPr>
            <w:t xml:space="preserve">Internet: </w:t>
          </w:r>
          <w:hyperlink r:id="rId1" w:history="1">
            <w:r w:rsidRPr="008E08D2">
              <w:rPr>
                <w:rStyle w:val="Collegamentoipertestuale"/>
                <w:rFonts w:ascii="Tahoma" w:hAnsi="Tahoma" w:cs="Tahoma"/>
                <w:color w:val="000000"/>
                <w:sz w:val="20"/>
                <w:szCs w:val="20"/>
                <w:u w:val="none"/>
              </w:rPr>
              <w:t>www.figcabruzzo.it</w:t>
            </w:r>
          </w:hyperlink>
          <w:r w:rsidRPr="008E08D2">
            <w:rPr>
              <w:rFonts w:ascii="Tahoma" w:hAnsi="Tahoma" w:cs="Tahoma"/>
              <w:color w:val="000000"/>
              <w:sz w:val="20"/>
              <w:szCs w:val="20"/>
            </w:rPr>
            <w:t xml:space="preserve">  –  e-mail: </w:t>
          </w:r>
          <w:hyperlink r:id="rId2" w:history="1">
            <w:r w:rsidRPr="008E08D2">
              <w:rPr>
                <w:rStyle w:val="Collegamentoipertestuale"/>
                <w:rFonts w:ascii="Tahoma" w:hAnsi="Tahoma" w:cs="Tahoma"/>
                <w:color w:val="000000"/>
                <w:sz w:val="20"/>
                <w:szCs w:val="20"/>
                <w:u w:val="none"/>
              </w:rPr>
              <w:t>cplnd.teramo@figc.it</w:t>
            </w:r>
          </w:hyperlink>
          <w:r w:rsidRPr="008E08D2">
            <w:rPr>
              <w:rFonts w:ascii="Tahoma" w:hAnsi="Tahoma" w:cs="Tahoma"/>
              <w:color w:val="000000"/>
              <w:sz w:val="20"/>
              <w:szCs w:val="20"/>
            </w:rPr>
            <w:t xml:space="preserve"> –  teramo.sgs@figc.it</w:t>
          </w:r>
        </w:p>
      </w:tc>
    </w:tr>
  </w:tbl>
  <w:p w:rsidR="00EC54EC" w:rsidRPr="005C2886" w:rsidRDefault="00EC54EC" w:rsidP="005C28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BE" w:rsidRDefault="00EC50BE" w:rsidP="007E5BBF">
      <w:pPr>
        <w:spacing w:after="0" w:line="240" w:lineRule="auto"/>
      </w:pPr>
      <w:r>
        <w:separator/>
      </w:r>
    </w:p>
  </w:footnote>
  <w:footnote w:type="continuationSeparator" w:id="0">
    <w:p w:rsidR="00EC50BE" w:rsidRDefault="00EC50BE" w:rsidP="007E5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76"/>
      <w:gridCol w:w="5529"/>
      <w:gridCol w:w="1873"/>
    </w:tblGrid>
    <w:tr w:rsidR="00EC54EC" w:rsidRPr="008E08D2" w:rsidTr="008E08D2">
      <w:trPr>
        <w:trHeight w:val="1402"/>
      </w:trPr>
      <w:tc>
        <w:tcPr>
          <w:tcW w:w="2376" w:type="dxa"/>
        </w:tcPr>
        <w:p w:rsidR="00EC54EC" w:rsidRPr="008E08D2" w:rsidRDefault="001865A2" w:rsidP="008E08D2">
          <w:pPr>
            <w:pStyle w:val="Intestazione"/>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DELEG" style="width:80.25pt;height:63pt;visibility:visible">
                <v:imagedata r:id="rId1" o:title="DELEG"/>
              </v:shape>
            </w:pict>
          </w:r>
        </w:p>
      </w:tc>
      <w:tc>
        <w:tcPr>
          <w:tcW w:w="5529" w:type="dxa"/>
        </w:tcPr>
        <w:p w:rsidR="00EC54EC" w:rsidRPr="008E08D2" w:rsidRDefault="00EC54EC" w:rsidP="008E08D2">
          <w:pPr>
            <w:spacing w:after="0" w:line="240" w:lineRule="auto"/>
            <w:jc w:val="center"/>
            <w:rPr>
              <w:rFonts w:ascii="Tahoma" w:hAnsi="Tahoma" w:cs="Tahoma"/>
              <w:b/>
            </w:rPr>
          </w:pPr>
        </w:p>
        <w:p w:rsidR="00EC54EC" w:rsidRPr="008E08D2" w:rsidRDefault="00EC54EC" w:rsidP="008E08D2">
          <w:pPr>
            <w:spacing w:after="0" w:line="240" w:lineRule="auto"/>
            <w:jc w:val="center"/>
            <w:rPr>
              <w:rFonts w:ascii="Tahoma" w:hAnsi="Tahoma" w:cs="Tahoma"/>
              <w:b/>
            </w:rPr>
          </w:pPr>
        </w:p>
        <w:p w:rsidR="00EC54EC" w:rsidRPr="008E08D2" w:rsidRDefault="00EC54EC" w:rsidP="008E08D2">
          <w:pPr>
            <w:spacing w:after="0" w:line="240" w:lineRule="auto"/>
            <w:jc w:val="center"/>
            <w:rPr>
              <w:rFonts w:ascii="Tahoma" w:hAnsi="Tahoma" w:cs="Tahoma"/>
              <w:b/>
            </w:rPr>
          </w:pPr>
          <w:r w:rsidRPr="008E08D2">
            <w:rPr>
              <w:rFonts w:ascii="Tahoma" w:hAnsi="Tahoma" w:cs="Tahoma"/>
              <w:b/>
            </w:rPr>
            <w:t>Federazione Italiana Gioco Calcio</w:t>
          </w:r>
        </w:p>
        <w:p w:rsidR="00EC54EC" w:rsidRPr="008E08D2" w:rsidRDefault="00EC54EC" w:rsidP="008E08D2">
          <w:pPr>
            <w:pStyle w:val="Intestazione"/>
            <w:jc w:val="center"/>
          </w:pPr>
          <w:r w:rsidRPr="008E08D2">
            <w:rPr>
              <w:rFonts w:ascii="Tahoma" w:hAnsi="Tahoma" w:cs="Tahoma"/>
            </w:rPr>
            <w:t>Delegazione Provinciale TERAMO</w:t>
          </w:r>
        </w:p>
      </w:tc>
      <w:tc>
        <w:tcPr>
          <w:tcW w:w="1873" w:type="dxa"/>
        </w:tcPr>
        <w:p w:rsidR="00EC54EC" w:rsidRPr="008E08D2" w:rsidRDefault="001865A2" w:rsidP="008E08D2">
          <w:pPr>
            <w:pStyle w:val="Intestazione"/>
            <w:jc w:val="center"/>
          </w:pPr>
          <w:r>
            <w:rPr>
              <w:noProof/>
              <w:lang w:eastAsia="it-IT"/>
            </w:rPr>
            <w:pict>
              <v:shape id="Immagine 4" o:spid="_x0000_i1026" type="#_x0000_t75" alt="provincia20logo" style="width:47.25pt;height:63pt;visibility:visible">
                <v:imagedata r:id="rId2" o:title="provincia20logo"/>
              </v:shape>
            </w:pict>
          </w:r>
        </w:p>
      </w:tc>
    </w:tr>
    <w:tr w:rsidR="00EC54EC" w:rsidRPr="008E08D2" w:rsidTr="008E08D2">
      <w:trPr>
        <w:trHeight w:val="555"/>
      </w:trPr>
      <w:tc>
        <w:tcPr>
          <w:tcW w:w="2376" w:type="dxa"/>
        </w:tcPr>
        <w:p w:rsidR="00EC54EC" w:rsidRPr="008E08D2" w:rsidRDefault="00EC54EC" w:rsidP="008E08D2">
          <w:pPr>
            <w:spacing w:after="0" w:line="240" w:lineRule="auto"/>
            <w:rPr>
              <w:rFonts w:ascii="Tahoma" w:hAnsi="Tahoma" w:cs="Tahoma"/>
              <w:sz w:val="20"/>
              <w:szCs w:val="20"/>
            </w:rPr>
          </w:pPr>
          <w:r w:rsidRPr="008E08D2">
            <w:rPr>
              <w:rFonts w:ascii="Tahoma" w:hAnsi="Tahoma" w:cs="Tahoma"/>
              <w:sz w:val="20"/>
              <w:szCs w:val="20"/>
            </w:rPr>
            <w:t xml:space="preserve">SETTORE GIOVANILE </w:t>
          </w:r>
        </w:p>
        <w:p w:rsidR="00EC54EC" w:rsidRPr="008E08D2" w:rsidRDefault="00EC54EC" w:rsidP="008E08D2">
          <w:pPr>
            <w:spacing w:after="0" w:line="240" w:lineRule="auto"/>
            <w:rPr>
              <w:rFonts w:ascii="Tahoma" w:hAnsi="Tahoma" w:cs="Tahoma"/>
              <w:sz w:val="20"/>
              <w:szCs w:val="20"/>
            </w:rPr>
          </w:pPr>
          <w:r w:rsidRPr="008E08D2">
            <w:rPr>
              <w:rFonts w:ascii="Tahoma" w:hAnsi="Tahoma" w:cs="Tahoma"/>
              <w:sz w:val="20"/>
              <w:szCs w:val="20"/>
            </w:rPr>
            <w:t>E SCOLASTICO</w:t>
          </w:r>
        </w:p>
      </w:tc>
      <w:tc>
        <w:tcPr>
          <w:tcW w:w="5529" w:type="dxa"/>
        </w:tcPr>
        <w:p w:rsidR="00EC54EC" w:rsidRPr="008E08D2" w:rsidRDefault="00EC54EC" w:rsidP="008E08D2">
          <w:pPr>
            <w:spacing w:after="0" w:line="240" w:lineRule="auto"/>
            <w:jc w:val="center"/>
            <w:rPr>
              <w:rFonts w:ascii="Tahoma" w:hAnsi="Tahoma" w:cs="Tahoma"/>
              <w:b/>
            </w:rPr>
          </w:pPr>
        </w:p>
      </w:tc>
      <w:tc>
        <w:tcPr>
          <w:tcW w:w="1873" w:type="dxa"/>
        </w:tcPr>
        <w:p w:rsidR="00EC54EC" w:rsidRPr="008E08D2" w:rsidRDefault="00EC54EC" w:rsidP="008E08D2">
          <w:pPr>
            <w:pStyle w:val="Intestazione"/>
            <w:jc w:val="center"/>
            <w:rPr>
              <w:rFonts w:cs="Calibri"/>
              <w:noProof/>
              <w:sz w:val="12"/>
              <w:szCs w:val="12"/>
              <w:lang w:eastAsia="it-IT"/>
            </w:rPr>
          </w:pPr>
          <w:r w:rsidRPr="008E08D2">
            <w:rPr>
              <w:rFonts w:cs="Calibri"/>
              <w:noProof/>
              <w:sz w:val="12"/>
              <w:szCs w:val="12"/>
              <w:lang w:eastAsia="it-IT"/>
            </w:rPr>
            <w:t>PROVINCIA di TERAMO</w:t>
          </w:r>
        </w:p>
      </w:tc>
    </w:tr>
  </w:tbl>
  <w:p w:rsidR="00EC54EC" w:rsidRDefault="00EC54EC" w:rsidP="007E5BB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32CD"/>
    <w:multiLevelType w:val="hybridMultilevel"/>
    <w:tmpl w:val="BF7EFF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465B39"/>
    <w:multiLevelType w:val="hybridMultilevel"/>
    <w:tmpl w:val="1A2443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BDD1BED"/>
    <w:multiLevelType w:val="hybridMultilevel"/>
    <w:tmpl w:val="EFEA9BAE"/>
    <w:lvl w:ilvl="0" w:tplc="E64454FE">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1966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5BBF"/>
    <w:rsid w:val="00007D38"/>
    <w:rsid w:val="00024FD7"/>
    <w:rsid w:val="000265BA"/>
    <w:rsid w:val="000415EB"/>
    <w:rsid w:val="0005528E"/>
    <w:rsid w:val="0006586E"/>
    <w:rsid w:val="00065C61"/>
    <w:rsid w:val="000864B9"/>
    <w:rsid w:val="00086988"/>
    <w:rsid w:val="000B020B"/>
    <w:rsid w:val="000B41D9"/>
    <w:rsid w:val="000B4C3D"/>
    <w:rsid w:val="000B5CB1"/>
    <w:rsid w:val="000C4A08"/>
    <w:rsid w:val="000C67C3"/>
    <w:rsid w:val="000E555E"/>
    <w:rsid w:val="000F1AA6"/>
    <w:rsid w:val="000F6748"/>
    <w:rsid w:val="00113133"/>
    <w:rsid w:val="00113C62"/>
    <w:rsid w:val="00121ADF"/>
    <w:rsid w:val="00123435"/>
    <w:rsid w:val="001329A8"/>
    <w:rsid w:val="00133B3B"/>
    <w:rsid w:val="00134510"/>
    <w:rsid w:val="001352ED"/>
    <w:rsid w:val="00137FBF"/>
    <w:rsid w:val="00141B90"/>
    <w:rsid w:val="001474CF"/>
    <w:rsid w:val="00166DD2"/>
    <w:rsid w:val="00177F2D"/>
    <w:rsid w:val="001865A2"/>
    <w:rsid w:val="00187D6F"/>
    <w:rsid w:val="00190D28"/>
    <w:rsid w:val="001A4EC6"/>
    <w:rsid w:val="001A63EB"/>
    <w:rsid w:val="001C0E14"/>
    <w:rsid w:val="001C1390"/>
    <w:rsid w:val="001C4689"/>
    <w:rsid w:val="001E7C42"/>
    <w:rsid w:val="001F1CD6"/>
    <w:rsid w:val="001F2519"/>
    <w:rsid w:val="00203E57"/>
    <w:rsid w:val="00210553"/>
    <w:rsid w:val="0021256D"/>
    <w:rsid w:val="002163EC"/>
    <w:rsid w:val="002310A2"/>
    <w:rsid w:val="00232ADB"/>
    <w:rsid w:val="00234CA9"/>
    <w:rsid w:val="002475A8"/>
    <w:rsid w:val="002602FC"/>
    <w:rsid w:val="0026366A"/>
    <w:rsid w:val="00266518"/>
    <w:rsid w:val="002801E5"/>
    <w:rsid w:val="00283F6D"/>
    <w:rsid w:val="00284567"/>
    <w:rsid w:val="00287921"/>
    <w:rsid w:val="00290490"/>
    <w:rsid w:val="00296680"/>
    <w:rsid w:val="002A025B"/>
    <w:rsid w:val="002A0D4C"/>
    <w:rsid w:val="002A41AF"/>
    <w:rsid w:val="002C1A45"/>
    <w:rsid w:val="002D1014"/>
    <w:rsid w:val="002E3C5F"/>
    <w:rsid w:val="003006B3"/>
    <w:rsid w:val="00307F0E"/>
    <w:rsid w:val="00333207"/>
    <w:rsid w:val="00335925"/>
    <w:rsid w:val="00363414"/>
    <w:rsid w:val="00365FED"/>
    <w:rsid w:val="00373D9B"/>
    <w:rsid w:val="003767AD"/>
    <w:rsid w:val="003853A5"/>
    <w:rsid w:val="00385444"/>
    <w:rsid w:val="00385E78"/>
    <w:rsid w:val="00395B3C"/>
    <w:rsid w:val="003A09FF"/>
    <w:rsid w:val="003A4890"/>
    <w:rsid w:val="003D0D41"/>
    <w:rsid w:val="003D43FE"/>
    <w:rsid w:val="003E448E"/>
    <w:rsid w:val="003F172A"/>
    <w:rsid w:val="003F6BDB"/>
    <w:rsid w:val="003F7B7E"/>
    <w:rsid w:val="00407280"/>
    <w:rsid w:val="00411FC7"/>
    <w:rsid w:val="00422D26"/>
    <w:rsid w:val="00423DC2"/>
    <w:rsid w:val="0042508C"/>
    <w:rsid w:val="004312A4"/>
    <w:rsid w:val="0043196A"/>
    <w:rsid w:val="00456061"/>
    <w:rsid w:val="00460159"/>
    <w:rsid w:val="0046723E"/>
    <w:rsid w:val="00471944"/>
    <w:rsid w:val="00472629"/>
    <w:rsid w:val="00476A2F"/>
    <w:rsid w:val="00483C88"/>
    <w:rsid w:val="00483E12"/>
    <w:rsid w:val="0048459D"/>
    <w:rsid w:val="004B359A"/>
    <w:rsid w:val="004B418A"/>
    <w:rsid w:val="004B59AF"/>
    <w:rsid w:val="004B7C96"/>
    <w:rsid w:val="004C1051"/>
    <w:rsid w:val="004D099C"/>
    <w:rsid w:val="005077AA"/>
    <w:rsid w:val="00507992"/>
    <w:rsid w:val="00514117"/>
    <w:rsid w:val="00515DD7"/>
    <w:rsid w:val="0054324F"/>
    <w:rsid w:val="005447A5"/>
    <w:rsid w:val="00545E41"/>
    <w:rsid w:val="00547E43"/>
    <w:rsid w:val="00563A11"/>
    <w:rsid w:val="0056554B"/>
    <w:rsid w:val="00565B47"/>
    <w:rsid w:val="00570896"/>
    <w:rsid w:val="0057599C"/>
    <w:rsid w:val="00582607"/>
    <w:rsid w:val="0058635B"/>
    <w:rsid w:val="005941F6"/>
    <w:rsid w:val="00596F2D"/>
    <w:rsid w:val="005A1449"/>
    <w:rsid w:val="005A206B"/>
    <w:rsid w:val="005A312D"/>
    <w:rsid w:val="005A5AA2"/>
    <w:rsid w:val="005A7D17"/>
    <w:rsid w:val="005B6FF3"/>
    <w:rsid w:val="005C2886"/>
    <w:rsid w:val="005C3FD5"/>
    <w:rsid w:val="005D0510"/>
    <w:rsid w:val="005D22A5"/>
    <w:rsid w:val="005E1A07"/>
    <w:rsid w:val="005F36B6"/>
    <w:rsid w:val="00606626"/>
    <w:rsid w:val="00606F86"/>
    <w:rsid w:val="0061601C"/>
    <w:rsid w:val="006166EB"/>
    <w:rsid w:val="00622C0B"/>
    <w:rsid w:val="006232AB"/>
    <w:rsid w:val="0063162B"/>
    <w:rsid w:val="0063240E"/>
    <w:rsid w:val="00634AC8"/>
    <w:rsid w:val="00634D6C"/>
    <w:rsid w:val="00650A27"/>
    <w:rsid w:val="006513EE"/>
    <w:rsid w:val="00653F54"/>
    <w:rsid w:val="0065673A"/>
    <w:rsid w:val="00662427"/>
    <w:rsid w:val="0066367D"/>
    <w:rsid w:val="00665819"/>
    <w:rsid w:val="00670A67"/>
    <w:rsid w:val="00670E9A"/>
    <w:rsid w:val="00674947"/>
    <w:rsid w:val="00682258"/>
    <w:rsid w:val="0068681E"/>
    <w:rsid w:val="00691F7F"/>
    <w:rsid w:val="00694365"/>
    <w:rsid w:val="00694EFF"/>
    <w:rsid w:val="006A2654"/>
    <w:rsid w:val="006A6E36"/>
    <w:rsid w:val="006B1304"/>
    <w:rsid w:val="006C0E43"/>
    <w:rsid w:val="006D145A"/>
    <w:rsid w:val="006D1E63"/>
    <w:rsid w:val="006E43C9"/>
    <w:rsid w:val="006F3F7F"/>
    <w:rsid w:val="006F42CB"/>
    <w:rsid w:val="006F640D"/>
    <w:rsid w:val="00700914"/>
    <w:rsid w:val="007023B9"/>
    <w:rsid w:val="00704091"/>
    <w:rsid w:val="00706BDC"/>
    <w:rsid w:val="00717228"/>
    <w:rsid w:val="00717588"/>
    <w:rsid w:val="00733232"/>
    <w:rsid w:val="007358A2"/>
    <w:rsid w:val="007439A5"/>
    <w:rsid w:val="00751B34"/>
    <w:rsid w:val="007536CC"/>
    <w:rsid w:val="00770E27"/>
    <w:rsid w:val="00772518"/>
    <w:rsid w:val="00772CCB"/>
    <w:rsid w:val="00792292"/>
    <w:rsid w:val="007926C6"/>
    <w:rsid w:val="00795543"/>
    <w:rsid w:val="0079587C"/>
    <w:rsid w:val="00796098"/>
    <w:rsid w:val="00796850"/>
    <w:rsid w:val="007A297E"/>
    <w:rsid w:val="007B57B2"/>
    <w:rsid w:val="007D404B"/>
    <w:rsid w:val="007E4ABA"/>
    <w:rsid w:val="007E5BBF"/>
    <w:rsid w:val="00801A5D"/>
    <w:rsid w:val="0080463D"/>
    <w:rsid w:val="00807E22"/>
    <w:rsid w:val="00821DC3"/>
    <w:rsid w:val="00824B52"/>
    <w:rsid w:val="008258BD"/>
    <w:rsid w:val="00826F6E"/>
    <w:rsid w:val="00833F63"/>
    <w:rsid w:val="008410BC"/>
    <w:rsid w:val="00843B8D"/>
    <w:rsid w:val="00853B19"/>
    <w:rsid w:val="00855FB6"/>
    <w:rsid w:val="008561E4"/>
    <w:rsid w:val="00874BE5"/>
    <w:rsid w:val="008A4F65"/>
    <w:rsid w:val="008B5C60"/>
    <w:rsid w:val="008C654A"/>
    <w:rsid w:val="008D7224"/>
    <w:rsid w:val="008E08D2"/>
    <w:rsid w:val="00901B75"/>
    <w:rsid w:val="00911F81"/>
    <w:rsid w:val="00923802"/>
    <w:rsid w:val="00923A37"/>
    <w:rsid w:val="00932144"/>
    <w:rsid w:val="0093219F"/>
    <w:rsid w:val="00936EB4"/>
    <w:rsid w:val="0094371D"/>
    <w:rsid w:val="009452F7"/>
    <w:rsid w:val="00945DB9"/>
    <w:rsid w:val="009475A3"/>
    <w:rsid w:val="00957ECA"/>
    <w:rsid w:val="00963C4B"/>
    <w:rsid w:val="00984B66"/>
    <w:rsid w:val="00995DB1"/>
    <w:rsid w:val="00996B1F"/>
    <w:rsid w:val="009B38AD"/>
    <w:rsid w:val="009C22B2"/>
    <w:rsid w:val="009C7E78"/>
    <w:rsid w:val="009D06CE"/>
    <w:rsid w:val="009E07F7"/>
    <w:rsid w:val="009E32E0"/>
    <w:rsid w:val="009F2549"/>
    <w:rsid w:val="009F78B8"/>
    <w:rsid w:val="00A00EDD"/>
    <w:rsid w:val="00A01969"/>
    <w:rsid w:val="00A03223"/>
    <w:rsid w:val="00A039C2"/>
    <w:rsid w:val="00A0421E"/>
    <w:rsid w:val="00A06936"/>
    <w:rsid w:val="00A06C40"/>
    <w:rsid w:val="00A07340"/>
    <w:rsid w:val="00A175D4"/>
    <w:rsid w:val="00A179D0"/>
    <w:rsid w:val="00A20FDA"/>
    <w:rsid w:val="00A2266C"/>
    <w:rsid w:val="00A2404D"/>
    <w:rsid w:val="00A362D8"/>
    <w:rsid w:val="00A40E50"/>
    <w:rsid w:val="00A430BC"/>
    <w:rsid w:val="00A45642"/>
    <w:rsid w:val="00A51CE8"/>
    <w:rsid w:val="00A56A87"/>
    <w:rsid w:val="00A63C0F"/>
    <w:rsid w:val="00A91F04"/>
    <w:rsid w:val="00A97C1C"/>
    <w:rsid w:val="00AC2093"/>
    <w:rsid w:val="00B01E8B"/>
    <w:rsid w:val="00B13C46"/>
    <w:rsid w:val="00B14589"/>
    <w:rsid w:val="00B17AEA"/>
    <w:rsid w:val="00B4227F"/>
    <w:rsid w:val="00B42A71"/>
    <w:rsid w:val="00B43A80"/>
    <w:rsid w:val="00B52567"/>
    <w:rsid w:val="00B57673"/>
    <w:rsid w:val="00B62A49"/>
    <w:rsid w:val="00B66CAA"/>
    <w:rsid w:val="00B70847"/>
    <w:rsid w:val="00B773EA"/>
    <w:rsid w:val="00B82939"/>
    <w:rsid w:val="00B96F92"/>
    <w:rsid w:val="00BA3977"/>
    <w:rsid w:val="00BB3F8C"/>
    <w:rsid w:val="00BC0060"/>
    <w:rsid w:val="00BD69F3"/>
    <w:rsid w:val="00BE3405"/>
    <w:rsid w:val="00BE7F56"/>
    <w:rsid w:val="00BF042A"/>
    <w:rsid w:val="00C0073A"/>
    <w:rsid w:val="00C315DC"/>
    <w:rsid w:val="00C36E13"/>
    <w:rsid w:val="00C66837"/>
    <w:rsid w:val="00C75315"/>
    <w:rsid w:val="00C92628"/>
    <w:rsid w:val="00CA7080"/>
    <w:rsid w:val="00CB024E"/>
    <w:rsid w:val="00CD40B2"/>
    <w:rsid w:val="00CE007D"/>
    <w:rsid w:val="00D025B6"/>
    <w:rsid w:val="00D052A8"/>
    <w:rsid w:val="00D12D00"/>
    <w:rsid w:val="00D26CA3"/>
    <w:rsid w:val="00D274A2"/>
    <w:rsid w:val="00D4213A"/>
    <w:rsid w:val="00D46035"/>
    <w:rsid w:val="00D81A86"/>
    <w:rsid w:val="00D854B7"/>
    <w:rsid w:val="00D90F6B"/>
    <w:rsid w:val="00D9665C"/>
    <w:rsid w:val="00DA175D"/>
    <w:rsid w:val="00DA2157"/>
    <w:rsid w:val="00DB1D54"/>
    <w:rsid w:val="00DB3F5D"/>
    <w:rsid w:val="00DB43EC"/>
    <w:rsid w:val="00DB72D0"/>
    <w:rsid w:val="00DB775F"/>
    <w:rsid w:val="00DC144A"/>
    <w:rsid w:val="00DD5F26"/>
    <w:rsid w:val="00DE12E6"/>
    <w:rsid w:val="00DE6F93"/>
    <w:rsid w:val="00E254AB"/>
    <w:rsid w:val="00E25BBF"/>
    <w:rsid w:val="00E4062B"/>
    <w:rsid w:val="00E45582"/>
    <w:rsid w:val="00E50907"/>
    <w:rsid w:val="00E547B8"/>
    <w:rsid w:val="00E6181B"/>
    <w:rsid w:val="00E87DEF"/>
    <w:rsid w:val="00EA2FAC"/>
    <w:rsid w:val="00EB6CEC"/>
    <w:rsid w:val="00EC50BE"/>
    <w:rsid w:val="00EC54EC"/>
    <w:rsid w:val="00ED03EA"/>
    <w:rsid w:val="00ED2C4D"/>
    <w:rsid w:val="00ED6A08"/>
    <w:rsid w:val="00EF5421"/>
    <w:rsid w:val="00F129E6"/>
    <w:rsid w:val="00F27151"/>
    <w:rsid w:val="00F454BA"/>
    <w:rsid w:val="00F4785A"/>
    <w:rsid w:val="00F47F68"/>
    <w:rsid w:val="00F544DE"/>
    <w:rsid w:val="00F54752"/>
    <w:rsid w:val="00F64935"/>
    <w:rsid w:val="00F67DC1"/>
    <w:rsid w:val="00F727CE"/>
    <w:rsid w:val="00F8465B"/>
    <w:rsid w:val="00F91F8A"/>
    <w:rsid w:val="00F97BD5"/>
    <w:rsid w:val="00FA5E68"/>
    <w:rsid w:val="00FC3517"/>
    <w:rsid w:val="00FD5D57"/>
    <w:rsid w:val="00FD5D74"/>
    <w:rsid w:val="00FE198E"/>
    <w:rsid w:val="00FE5B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5B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5BBF"/>
  </w:style>
  <w:style w:type="paragraph" w:styleId="Pidipagina">
    <w:name w:val="footer"/>
    <w:basedOn w:val="Normale"/>
    <w:link w:val="PidipaginaCarattere"/>
    <w:uiPriority w:val="99"/>
    <w:unhideWhenUsed/>
    <w:rsid w:val="007E5B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5BBF"/>
  </w:style>
  <w:style w:type="paragraph" w:styleId="Testofumetto">
    <w:name w:val="Balloon Text"/>
    <w:basedOn w:val="Normale"/>
    <w:link w:val="TestofumettoCarattere"/>
    <w:uiPriority w:val="99"/>
    <w:semiHidden/>
    <w:unhideWhenUsed/>
    <w:rsid w:val="007E5B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BBF"/>
    <w:rPr>
      <w:rFonts w:ascii="Tahoma" w:hAnsi="Tahoma" w:cs="Tahoma"/>
      <w:sz w:val="16"/>
      <w:szCs w:val="16"/>
    </w:rPr>
  </w:style>
  <w:style w:type="table" w:styleId="Grigliatabella">
    <w:name w:val="Table Grid"/>
    <w:basedOn w:val="Tabellanormale"/>
    <w:rsid w:val="007E5B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rsid w:val="005C2886"/>
    <w:rPr>
      <w:color w:val="0000FF"/>
      <w:u w:val="single"/>
    </w:rPr>
  </w:style>
  <w:style w:type="paragraph" w:styleId="Paragrafoelenco">
    <w:name w:val="List Paragraph"/>
    <w:basedOn w:val="Normale"/>
    <w:uiPriority w:val="34"/>
    <w:qFormat/>
    <w:rsid w:val="00A06C40"/>
    <w:pPr>
      <w:ind w:left="720"/>
      <w:contextualSpacing/>
    </w:pPr>
  </w:style>
</w:styles>
</file>

<file path=word/webSettings.xml><?xml version="1.0" encoding="utf-8"?>
<w:webSettings xmlns:r="http://schemas.openxmlformats.org/officeDocument/2006/relationships" xmlns:w="http://schemas.openxmlformats.org/wordprocessingml/2006/main">
  <w:divs>
    <w:div w:id="171115315">
      <w:bodyDiv w:val="1"/>
      <w:marLeft w:val="0"/>
      <w:marRight w:val="0"/>
      <w:marTop w:val="0"/>
      <w:marBottom w:val="0"/>
      <w:divBdr>
        <w:top w:val="none" w:sz="0" w:space="0" w:color="auto"/>
        <w:left w:val="none" w:sz="0" w:space="0" w:color="auto"/>
        <w:bottom w:val="none" w:sz="0" w:space="0" w:color="auto"/>
        <w:right w:val="none" w:sz="0" w:space="0" w:color="auto"/>
      </w:divBdr>
    </w:div>
    <w:div w:id="434253325">
      <w:bodyDiv w:val="1"/>
      <w:marLeft w:val="0"/>
      <w:marRight w:val="0"/>
      <w:marTop w:val="0"/>
      <w:marBottom w:val="0"/>
      <w:divBdr>
        <w:top w:val="none" w:sz="0" w:space="0" w:color="auto"/>
        <w:left w:val="none" w:sz="0" w:space="0" w:color="auto"/>
        <w:bottom w:val="none" w:sz="0" w:space="0" w:color="auto"/>
        <w:right w:val="none" w:sz="0" w:space="0" w:color="auto"/>
      </w:divBdr>
    </w:div>
    <w:div w:id="1533112999">
      <w:bodyDiv w:val="1"/>
      <w:marLeft w:val="0"/>
      <w:marRight w:val="0"/>
      <w:marTop w:val="0"/>
      <w:marBottom w:val="0"/>
      <w:divBdr>
        <w:top w:val="none" w:sz="0" w:space="0" w:color="auto"/>
        <w:left w:val="none" w:sz="0" w:space="0" w:color="auto"/>
        <w:bottom w:val="none" w:sz="0" w:space="0" w:color="auto"/>
        <w:right w:val="none" w:sz="0" w:space="0" w:color="auto"/>
      </w:divBdr>
    </w:div>
    <w:div w:id="20501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lnd.teramo@figc.it" TargetMode="External"/><Relationship Id="rId1" Type="http://schemas.openxmlformats.org/officeDocument/2006/relationships/hyperlink" Target="http://www.figcabruzz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43EC-FA1B-43AD-8CD1-BD63DAC7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Links>
    <vt:vector size="12" baseType="variant">
      <vt:variant>
        <vt:i4>4259902</vt:i4>
      </vt:variant>
      <vt:variant>
        <vt:i4>3</vt:i4>
      </vt:variant>
      <vt:variant>
        <vt:i4>0</vt:i4>
      </vt:variant>
      <vt:variant>
        <vt:i4>5</vt:i4>
      </vt:variant>
      <vt:variant>
        <vt:lpwstr>mailto:cplnd.teramo@figc.it</vt:lpwstr>
      </vt:variant>
      <vt:variant>
        <vt:lpwstr/>
      </vt:variant>
      <vt:variant>
        <vt:i4>6946925</vt:i4>
      </vt:variant>
      <vt:variant>
        <vt:i4>0</vt:i4>
      </vt:variant>
      <vt:variant>
        <vt:i4>0</vt:i4>
      </vt:variant>
      <vt:variant>
        <vt:i4>5</vt:i4>
      </vt:variant>
      <vt:variant>
        <vt:lpwstr>http://www.figcabruzzo.it/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2017-09-27T15:48:00Z</cp:lastPrinted>
  <dcterms:created xsi:type="dcterms:W3CDTF">2018-09-20T15:56:00Z</dcterms:created>
  <dcterms:modified xsi:type="dcterms:W3CDTF">2018-09-20T15:56:00Z</dcterms:modified>
</cp:coreProperties>
</file>